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Ташкентская көчөсүнүн түндүк тарабы</w:t>
      </w:r>
    </w:p>
    <w:p>
      <w:pPr>
        <w:spacing w:after="100"/>
        <w:jc w:val="center"/>
      </w:pPr>
      <w:r>
        <w:rPr>
          <w:rFonts w:ascii="Arial" w:hAnsi="Arial" w:eastAsia="Arial"/>
          <w:b w:val="0"/>
          <w:color w:val="606667"/>
          <w:sz w:val="17"/>
        </w:rPr>
        <w:t>42.88564, 74.62022</w:t>
      </w:r>
    </w:p>
    <w:p>
      <w:pPr>
        <w:spacing w:before="0" w:after="20"/>
        <w:jc w:val="center"/>
      </w:pPr>
      <w:r>
        <w:drawing>
          <wp:inline xmlns:a="http://schemas.openxmlformats.org/drawingml/2006/main" xmlns:pic="http://schemas.openxmlformats.org/drawingml/2006/picture">
            <wp:extent cx="2845800" cy="2232000"/>
            <wp:docPr id="1" name="Picture 1" descr="Северная сторона улицы Ташкентской" title="Северная сторона улицы Ташкентской"/>
            <wp:cNvGraphicFramePr>
              <a:graphicFrameLocks noChangeAspect="1"/>
            </wp:cNvGraphicFramePr>
            <a:graphic>
              <a:graphicData uri="http://schemas.openxmlformats.org/drawingml/2006/picture">
                <pic:pic>
                  <pic:nvPicPr>
                    <pic:cNvPr id="0" name="b8412b8deb199c41242d.jpg"/>
                    <pic:cNvPicPr/>
                  </pic:nvPicPr>
                  <pic:blipFill>
                    <a:blip r:embed="rId12"/>
                    <a:stretch>
                      <a:fillRect/>
                    </a:stretch>
                  </pic:blipFill>
                  <pic:spPr>
                    <a:xfrm>
                      <a:off x="0" y="0"/>
                      <a:ext cx="2845800" cy="2232000"/>
                    </a:xfrm>
                    <a:prstGeom prst="rect"/>
                  </pic:spPr>
                </pic:pic>
              </a:graphicData>
            </a:graphic>
          </wp:inline>
        </w:drawing>
      </w:r>
    </w:p>
    <w:p>
      <w:pPr>
        <w:spacing w:after="60"/>
        <w:jc w:val="center"/>
      </w:pPr>
      <w:r>
        <w:rPr>
          <w:rFonts w:ascii="Arial" w:hAnsi="Arial" w:eastAsia="Arial"/>
          <w:b w:val="0"/>
          <w:color w:val="606667"/>
          <w:sz w:val="15"/>
        </w:rPr>
        <w:t>Северная сторона улицы Ташкентской · Виктора Глумскова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Ташкентская көчөсүнүн түндүк тарабы</w:t>
      </w:r>
    </w:p>
    <w:p>
      <w:pPr>
        <w:widowControl/>
        <w:spacing w:before="0" w:after="60" w:line="247" w:lineRule="auto"/>
      </w:pPr>
      <w:r>
        <w:rPr>
          <w:rFonts w:ascii="Arial" w:hAnsi="Arial" w:eastAsia="Arial"/>
          <w:b w:val="0"/>
          <w:color w:val="242C2F"/>
          <w:sz w:val="19"/>
        </w:rPr>
        <w:t xml:space="preserve">﻿ Ташкентскаянын түндүк тарабы 19-кылымдын аягы – 20-кылымдын башы шаарды көрктөндүрүү жана шаар массивинин баш жагында чоң үйлөрдүн курулушу менен мүнөздөлөт. Үйлөр брусчаткадан же брусчаткадан тургузулган бийик таш пайдубалдардын үстүндө турушкан, анын үстүндө кирпич жасалгасы менен кооздолгон кирпичтен жасалган жертөлө болгон. Жогорку кабаттардын дубалдары каркас-жыгач же журнал болуп саналат. Бөлмөлөрдүн саны шаар тургунунун байлыгына жараша </w:t>
      </w:r>
    </w:p>
    <w:p>
      <w:pPr>
        <w:spacing w:before="20" w:after="0"/>
      </w:pPr>
      <w:r>
        <w:rPr>
          <w:rFonts w:ascii="Arial" w:hAnsi="Arial" w:eastAsia="Arial"/>
          <w:b w:val="0"/>
          <w:color w:val="606667"/>
          <w:sz w:val="14"/>
        </w:rPr>
        <w:t>Булак: https://bimap.su/description/pishpek/88_Sever_Tashkentskoi.txt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1-Май тигүү фабрикасынын №2 цехи</w:t>
      </w:r>
    </w:p>
    <w:p>
      <w:pPr>
        <w:spacing w:after="100"/>
        <w:jc w:val="center"/>
      </w:pPr>
      <w:r>
        <w:rPr>
          <w:rFonts w:ascii="Arial" w:hAnsi="Arial" w:eastAsia="Arial"/>
          <w:b w:val="0"/>
          <w:color w:val="606667"/>
          <w:sz w:val="17"/>
        </w:rPr>
        <w:t>42.88564, 74.62022</w:t>
      </w:r>
    </w:p>
    <w:p>
      <w:pPr>
        <w:spacing w:before="0" w:after="20"/>
        <w:jc w:val="center"/>
      </w:pPr>
      <w:r>
        <w:drawing>
          <wp:inline xmlns:a="http://schemas.openxmlformats.org/drawingml/2006/main" xmlns:pic="http://schemas.openxmlformats.org/drawingml/2006/picture">
            <wp:extent cx="3380430" cy="2232000"/>
            <wp:docPr id="2" name="Picture 2" descr="Цех №2 швейной фабрики «1 Мая»" title="Цех №2 швейной фабрики «1 Мая»"/>
            <wp:cNvGraphicFramePr>
              <a:graphicFrameLocks noChangeAspect="1"/>
            </wp:cNvGraphicFramePr>
            <a:graphic>
              <a:graphicData uri="http://schemas.openxmlformats.org/drawingml/2006/picture">
                <pic:pic>
                  <pic:nvPicPr>
                    <pic:cNvPr id="0" name="941ab02e657224a2413b.jpg"/>
                    <pic:cNvPicPr/>
                  </pic:nvPicPr>
                  <pic:blipFill>
                    <a:blip r:embed="rId13"/>
                    <a:stretch>
                      <a:fillRect/>
                    </a:stretch>
                  </pic:blipFill>
                  <pic:spPr>
                    <a:xfrm>
                      <a:off x="0" y="0"/>
                      <a:ext cx="3380430" cy="2232000"/>
                    </a:xfrm>
                    <a:prstGeom prst="rect"/>
                  </pic:spPr>
                </pic:pic>
              </a:graphicData>
            </a:graphic>
          </wp:inline>
        </w:drawing>
      </w:r>
    </w:p>
    <w:p>
      <w:pPr>
        <w:spacing w:after="60"/>
        <w:jc w:val="center"/>
      </w:pPr>
      <w:r>
        <w:rPr>
          <w:rFonts w:ascii="Arial" w:hAnsi="Arial" w:eastAsia="Arial"/>
          <w:b w:val="0"/>
          <w:color w:val="606667"/>
          <w:sz w:val="15"/>
        </w:rPr>
        <w:t>Цех №2 швейной фабрики «1 Мая»</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1-Май тигүү фабрикасынын №2 цехи</w:t>
      </w:r>
    </w:p>
    <w:p>
      <w:pPr>
        <w:widowControl/>
        <w:spacing w:before="0" w:after="60" w:line="247" w:lineRule="auto"/>
      </w:pPr>
      <w:r>
        <w:rPr>
          <w:rFonts w:ascii="Arial" w:hAnsi="Arial" w:eastAsia="Arial"/>
          <w:b w:val="0"/>
          <w:color w:val="242C2F"/>
          <w:sz w:val="19"/>
        </w:rPr>
        <w:t>﻿ 1-Май тигүү фабрикасынын №2 цехи 19-кылымдын аягы – 20-кылымдын башында курулган үй. Өлчөмү боюнча чоң үй шаар мүлкүнүн баш жагында бийик таш пайдубалдын үстүндө турган, анын үстүндө кирпичтен жасалган оюм-чийим декору менен жарым жертөлөнүн кирпичтен жасалган жертөлөсү жайгашкан. Үстүнкү кабаттын дубалдары жыгачтан же жыгачтан жасалган. Бөлмөлөрдүн саны шаар тургунунун байлыгына жараша аныкталган, бирок көбүнчө үйлөр үч бөлмөлүү, ортосунда вес</w:t>
      </w:r>
    </w:p>
    <w:p>
      <w:pPr>
        <w:spacing w:before="20" w:after="0"/>
      </w:pPr>
      <w:r>
        <w:rPr>
          <w:rFonts w:ascii="Arial" w:hAnsi="Arial" w:eastAsia="Arial"/>
          <w:b w:val="0"/>
          <w:color w:val="606667"/>
          <w:sz w:val="14"/>
        </w:rPr>
        <w:t>Булак: https://bimap.su/description/frunze/261_Zeh.txt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42.88564, 74.62022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