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Здание на бывшей Пушкинской</w:t>
      </w:r>
    </w:p>
    <w:p>
      <w:pPr>
        <w:jc w:val="center"/>
      </w:pPr>
      <w:r>
        <w:rPr>
          <w:rFonts w:ascii="Arial" w:hAnsi="Arial" w:eastAsia="Arial"/>
          <w:b w:val="0"/>
          <w:color w:val="606667"/>
          <w:sz w:val="17"/>
        </w:rPr>
        <w:t>42.87728, 74.59210</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976000" cy="2232000"/>
            <wp:docPr id="1" name="Picture 1"/>
            <wp:cNvGraphicFramePr>
              <a:graphicFrameLocks noChangeAspect="1"/>
            </wp:cNvGraphicFramePr>
            <a:graphic>
              <a:graphicData uri="http://schemas.openxmlformats.org/drawingml/2006/picture">
                <pic:pic>
                  <pic:nvPicPr>
                    <pic:cNvPr id="0" name="dda2fd0ed3e5668e551a.jpg"/>
                    <pic:cNvPicPr/>
                  </pic:nvPicPr>
                  <pic:blipFill>
                    <a:blip r:embed="rId12"/>
                    <a:stretch>
                      <a:fillRect/>
                    </a:stretch>
                  </pic:blipFill>
                  <pic:spPr>
                    <a:xfrm>
                      <a:off x="0" y="0"/>
                      <a:ext cx="297600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42.87728, 74.59210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Building on the former Pushkinskaya</w:t>
      </w:r>
    </w:p>
    <w:p>
      <w:pPr>
        <w:spacing w:after="100"/>
        <w:jc w:val="center"/>
      </w:pPr>
      <w:r>
        <w:rPr>
          <w:rFonts w:ascii="Arial" w:hAnsi="Arial" w:eastAsia="Arial"/>
          <w:b w:val="0"/>
          <w:color w:val="606667"/>
          <w:sz w:val="17"/>
        </w:rPr>
        <w:t>42.87728, 74.59210</w:t>
      </w:r>
    </w:p>
    <w:p>
      <w:pPr>
        <w:spacing w:before="0" w:after="20"/>
        <w:jc w:val="center"/>
      </w:pPr>
      <w:r>
        <w:drawing>
          <wp:inline xmlns:a="http://schemas.openxmlformats.org/drawingml/2006/main" xmlns:pic="http://schemas.openxmlformats.org/drawingml/2006/picture">
            <wp:extent cx="2976000" cy="2232000"/>
            <wp:docPr id="4" name="Picture 4" descr="Здание на бывшей Пушкинской" title="Здание на бывшей Пушкинской"/>
            <wp:cNvGraphicFramePr>
              <a:graphicFrameLocks noChangeAspect="1"/>
            </wp:cNvGraphicFramePr>
            <a:graphic>
              <a:graphicData uri="http://schemas.openxmlformats.org/drawingml/2006/picture">
                <pic:pic>
                  <pic:nvPicPr>
                    <pic:cNvPr id="0" name="dda2fd0ed3e5668e551a.jpg"/>
                    <pic:cNvPicPr/>
                  </pic:nvPicPr>
                  <pic:blipFill>
                    <a:blip r:embed="rId12"/>
                    <a:stretch>
                      <a:fillRect/>
                    </a:stretch>
                  </pic:blipFill>
                  <pic:spPr>
                    <a:xfrm>
                      <a:off x="0" y="0"/>
                      <a:ext cx="2976000" cy="2232000"/>
                    </a:xfrm>
                    <a:prstGeom prst="rect"/>
                  </pic:spPr>
                </pic:pic>
              </a:graphicData>
            </a:graphic>
          </wp:inline>
        </w:drawing>
      </w:r>
    </w:p>
    <w:p>
      <w:pPr>
        <w:spacing w:after="60"/>
        <w:jc w:val="center"/>
      </w:pPr>
      <w:r>
        <w:rPr>
          <w:rFonts w:ascii="Arial" w:hAnsi="Arial" w:eastAsia="Arial"/>
          <w:b w:val="0"/>
          <w:color w:val="606667"/>
          <w:sz w:val="15"/>
        </w:rPr>
        <w:t>Здание на бывшей Пушкинской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Building on the former Pushkinskaya</w:t>
      </w:r>
    </w:p>
    <w:p>
      <w:pPr>
        <w:widowControl/>
        <w:spacing w:before="0" w:after="60" w:line="247" w:lineRule="auto"/>
      </w:pPr>
      <w:r>
        <w:rPr>
          <w:rFonts w:ascii="Arial" w:hAnsi="Arial" w:eastAsia="Arial"/>
          <w:b w:val="0"/>
          <w:color w:val="242C2F"/>
          <w:sz w:val="19"/>
        </w:rPr>
        <w:t xml:space="preserve">﻿ Building on the former Pushkinskaya The newspaper “Soviet Kyrgyzstan” announced on September 10, 1939 that a land management technical school had opened on Pushkin (Georgievskaya) Street. In fact, the former Pushkinskaya was already called Molotov Street since 1938. Then it was called 40 years of October (now Isanova). This building was not a technical school for long. With the beginning of the Great Patriotic War, a rear hospital was deployed </w:t>
      </w:r>
    </w:p>
    <w:p>
      <w:pPr>
        <w:spacing w:before="20" w:after="0"/>
      </w:pPr>
      <w:r>
        <w:rPr>
          <w:rFonts w:ascii="Arial" w:hAnsi="Arial" w:eastAsia="Arial"/>
          <w:b w:val="0"/>
          <w:color w:val="606667"/>
          <w:sz w:val="14"/>
        </w:rPr>
        <w:t>Source: https://bimap.su/description/frunze/518_Teknikum.txt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42.87728, 74.59210</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Ринат Ибрагимов</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https://2gis.kg/bishkek/geo/15763234351107867/tab/photos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