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Магазин Акчурина</w:t>
      </w:r>
    </w:p>
    <w:p>
      <w:pPr>
        <w:jc w:val="center"/>
      </w:pPr>
      <w:r>
        <w:rPr>
          <w:rFonts w:ascii="Arial" w:hAnsi="Arial" w:eastAsia="Arial"/>
          <w:b w:val="0"/>
          <w:color w:val="606667"/>
          <w:sz w:val="17"/>
        </w:rPr>
        <w:t>42.88190, 74.61139</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621420" cy="2232000"/>
            <wp:docPr id="1" name="Picture 1"/>
            <wp:cNvGraphicFramePr>
              <a:graphicFrameLocks noChangeAspect="1"/>
            </wp:cNvGraphicFramePr>
            <a:graphic>
              <a:graphicData uri="http://schemas.openxmlformats.org/drawingml/2006/picture">
                <pic:pic>
                  <pic:nvPicPr>
                    <pic:cNvPr id="0" name="52f70f574482e7b6b4eb.jpg"/>
                    <pic:cNvPicPr/>
                  </pic:nvPicPr>
                  <pic:blipFill>
                    <a:blip r:embed="rId12"/>
                    <a:stretch>
                      <a:fillRect/>
                    </a:stretch>
                  </pic:blipFill>
                  <pic:spPr>
                    <a:xfrm>
                      <a:off x="0" y="0"/>
                      <a:ext cx="362142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Akchurin's Store</w:t>
      </w:r>
    </w:p>
    <w:p>
      <w:pPr>
        <w:spacing w:after="100"/>
        <w:jc w:val="center"/>
      </w:pPr>
      <w:r>
        <w:rPr>
          <w:rFonts w:ascii="Arial" w:hAnsi="Arial" w:eastAsia="Arial"/>
          <w:b w:val="0"/>
          <w:color w:val="606667"/>
          <w:sz w:val="17"/>
        </w:rPr>
        <w:t>42.88190, 74.61139</w:t>
      </w:r>
    </w:p>
    <w:p>
      <w:pPr>
        <w:spacing w:before="0" w:after="20"/>
        <w:jc w:val="center"/>
      </w:pPr>
      <w:r>
        <w:drawing>
          <wp:inline xmlns:a="http://schemas.openxmlformats.org/drawingml/2006/main" xmlns:pic="http://schemas.openxmlformats.org/drawingml/2006/picture">
            <wp:extent cx="3621420" cy="2232000"/>
            <wp:docPr id="3" name="Picture 3" descr="Магазин Акчурина" title="Магазин Акчурина"/>
            <wp:cNvGraphicFramePr>
              <a:graphicFrameLocks noChangeAspect="1"/>
            </wp:cNvGraphicFramePr>
            <a:graphic>
              <a:graphicData uri="http://schemas.openxmlformats.org/drawingml/2006/picture">
                <pic:pic>
                  <pic:nvPicPr>
                    <pic:cNvPr id="0" name="52f70f574482e7b6b4eb.jpg"/>
                    <pic:cNvPicPr/>
                  </pic:nvPicPr>
                  <pic:blipFill>
                    <a:blip r:embed="rId12"/>
                    <a:stretch>
                      <a:fillRect/>
                    </a:stretch>
                  </pic:blipFill>
                  <pic:spPr>
                    <a:xfrm>
                      <a:off x="0" y="0"/>
                      <a:ext cx="3621420" cy="2232000"/>
                    </a:xfrm>
                    <a:prstGeom prst="rect"/>
                  </pic:spPr>
                </pic:pic>
              </a:graphicData>
            </a:graphic>
          </wp:inline>
        </w:drawing>
      </w:r>
    </w:p>
    <w:p>
      <w:pPr>
        <w:spacing w:after="60"/>
        <w:jc w:val="center"/>
      </w:pPr>
      <w:r>
        <w:rPr>
          <w:rFonts w:ascii="Arial" w:hAnsi="Arial" w:eastAsia="Arial"/>
          <w:b w:val="0"/>
          <w:color w:val="606667"/>
          <w:sz w:val="15"/>
        </w:rPr>
        <w:t>Магазин Акчурина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Akchurin's Store</w:t>
      </w:r>
    </w:p>
    <w:p>
      <w:pPr>
        <w:widowControl/>
        <w:spacing w:before="0" w:after="60" w:line="247" w:lineRule="auto"/>
      </w:pPr>
      <w:r>
        <w:rPr>
          <w:rFonts w:ascii="Arial" w:hAnsi="Arial" w:eastAsia="Arial"/>
          <w:b w:val="0"/>
          <w:color w:val="242C2F"/>
          <w:sz w:val="19"/>
        </w:rPr>
        <w:t xml:space="preserve">﻿ Akchurin's Store Among the numerous stationary retail outlets of Pishpek, the number of which exceeded 500, large trading establishments of merchants and industrialists stood out. In the shopping arcades of Bazarnaya Street there were shops of merchants A. Akchurin, I. Daulbaev, A. Pushnikov, N. Ivanov, A. Kveitman and others. The import of industrial products and goods was carried out from Russia through Tashkent and by caravan routes through </w:t>
      </w:r>
    </w:p>
    <w:p>
      <w:pPr>
        <w:spacing w:before="20" w:after="0"/>
      </w:pPr>
      <w:r>
        <w:rPr>
          <w:rFonts w:ascii="Arial" w:hAnsi="Arial" w:eastAsia="Arial"/>
          <w:b w:val="0"/>
          <w:color w:val="606667"/>
          <w:sz w:val="14"/>
        </w:rPr>
        <w:t>Source: https://bimap.su/description/pishpek/7_Magazin_Akchurina.txt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42.88190, 74.61139</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42.88190, 74.61139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Rus Rus</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https://2gis.kg/bishkek/firm/70000001020302132/tab/photos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