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Кукольный театр «Золотой ключик»</w:t>
      </w:r>
    </w:p>
    <w:p>
      <w:pPr>
        <w:jc w:val="center"/>
      </w:pPr>
      <w:r>
        <w:rPr>
          <w:rFonts w:ascii="Arial" w:hAnsi="Arial" w:eastAsia="Arial"/>
          <w:b w:val="0"/>
          <w:color w:val="606667"/>
          <w:sz w:val="17"/>
        </w:rPr>
        <w:t>42.88671, 74.60990</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495705" cy="2231999"/>
            <wp:docPr id="1" name="Picture 1"/>
            <wp:cNvGraphicFramePr>
              <a:graphicFrameLocks noChangeAspect="1"/>
            </wp:cNvGraphicFramePr>
            <a:graphic>
              <a:graphicData uri="http://schemas.openxmlformats.org/drawingml/2006/picture">
                <pic:pic>
                  <pic:nvPicPr>
                    <pic:cNvPr id="0" name="fccf174a3816c16935de.jpg"/>
                    <pic:cNvPicPr/>
                  </pic:nvPicPr>
                  <pic:blipFill>
                    <a:blip r:embed="rId12"/>
                    <a:stretch>
                      <a:fillRect/>
                    </a:stretch>
                  </pic:blipFill>
                  <pic:spPr>
                    <a:xfrm>
                      <a:off x="0" y="0"/>
                      <a:ext cx="3495705" cy="2231999"/>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42.88671, 74.60990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Puppet theater "Golden Key"</w:t>
      </w:r>
    </w:p>
    <w:p>
      <w:pPr>
        <w:spacing w:after="100"/>
        <w:jc w:val="center"/>
      </w:pPr>
      <w:r>
        <w:rPr>
          <w:rFonts w:ascii="Arial" w:hAnsi="Arial" w:eastAsia="Arial"/>
          <w:b w:val="0"/>
          <w:color w:val="606667"/>
          <w:sz w:val="17"/>
        </w:rPr>
        <w:t>42.88671, 74.60990</w:t>
      </w:r>
    </w:p>
    <w:p>
      <w:pPr>
        <w:spacing w:before="0" w:after="20"/>
        <w:jc w:val="center"/>
      </w:pPr>
      <w:r>
        <w:drawing>
          <wp:inline xmlns:a="http://schemas.openxmlformats.org/drawingml/2006/main" xmlns:pic="http://schemas.openxmlformats.org/drawingml/2006/picture">
            <wp:extent cx="3495705" cy="2231999"/>
            <wp:docPr id="4" name="Picture 4" descr="Кукольный театр «Золотой ключик»" title="Кукольный театр «Золотой ключик»"/>
            <wp:cNvGraphicFramePr>
              <a:graphicFrameLocks noChangeAspect="1"/>
            </wp:cNvGraphicFramePr>
            <a:graphic>
              <a:graphicData uri="http://schemas.openxmlformats.org/drawingml/2006/picture">
                <pic:pic>
                  <pic:nvPicPr>
                    <pic:cNvPr id="0" name="fccf174a3816c16935de.jpg"/>
                    <pic:cNvPicPr/>
                  </pic:nvPicPr>
                  <pic:blipFill>
                    <a:blip r:embed="rId12"/>
                    <a:stretch>
                      <a:fillRect/>
                    </a:stretch>
                  </pic:blipFill>
                  <pic:spPr>
                    <a:xfrm>
                      <a:off x="0" y="0"/>
                      <a:ext cx="3495705" cy="2231999"/>
                    </a:xfrm>
                    <a:prstGeom prst="rect"/>
                  </pic:spPr>
                </pic:pic>
              </a:graphicData>
            </a:graphic>
          </wp:inline>
        </w:drawing>
      </w:r>
    </w:p>
    <w:p>
      <w:pPr>
        <w:spacing w:after="60"/>
        <w:jc w:val="center"/>
      </w:pPr>
      <w:r>
        <w:rPr>
          <w:rFonts w:ascii="Arial" w:hAnsi="Arial" w:eastAsia="Arial"/>
          <w:b w:val="0"/>
          <w:color w:val="606667"/>
          <w:sz w:val="15"/>
        </w:rPr>
        <w:t>Кукольный театр «Золотой ключик»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Puppet theater "Golden Key"</w:t>
      </w:r>
    </w:p>
    <w:p>
      <w:pPr>
        <w:widowControl/>
        <w:spacing w:before="0" w:after="60" w:line="247" w:lineRule="auto"/>
      </w:pPr>
      <w:r>
        <w:rPr>
          <w:rFonts w:ascii="Arial" w:hAnsi="Arial" w:eastAsia="Arial"/>
          <w:b w:val="0"/>
          <w:color w:val="242C2F"/>
          <w:sz w:val="19"/>
        </w:rPr>
        <w:t>﻿ Puppet theater "Golden Key". Photo from the album “City of Frunze”, 1978. The puppet theater did not have its own building and was located either in the mosque building, or in the “Lux” store, or in the building of the Ministry of Agriculture. In the 70s it was located in the Palace of Pioneers.</w:t>
      </w:r>
    </w:p>
    <w:p>
      <w:pPr>
        <w:spacing w:before="20" w:after="0"/>
      </w:pPr>
      <w:r>
        <w:rPr>
          <w:rFonts w:ascii="Arial" w:hAnsi="Arial" w:eastAsia="Arial"/>
          <w:b w:val="0"/>
          <w:color w:val="606667"/>
          <w:sz w:val="14"/>
        </w:rPr>
        <w:t>Source: https://bimap.su/description/frunze/482_Kukolnyi1978.txt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42.88671, 74.60990</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ఇ fiw</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https://2gis.kg/bishkek/firm/70000001019329791/tab/photos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