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Институт леса и ореховодства</w:t>
      </w:r>
    </w:p>
    <w:p>
      <w:pPr>
        <w:jc w:val="center"/>
      </w:pPr>
      <w:r>
        <w:rPr>
          <w:rFonts w:ascii="Arial" w:hAnsi="Arial" w:eastAsia="Arial"/>
          <w:b w:val="0"/>
          <w:color w:val="606667"/>
          <w:sz w:val="17"/>
        </w:rPr>
        <w:t>42.91590, 74.62126</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82098" cy="2232000"/>
            <wp:docPr id="1" name="Picture 1"/>
            <wp:cNvGraphicFramePr>
              <a:graphicFrameLocks noChangeAspect="1"/>
            </wp:cNvGraphicFramePr>
            <a:graphic>
              <a:graphicData uri="http://schemas.openxmlformats.org/drawingml/2006/picture">
                <pic:pic>
                  <pic:nvPicPr>
                    <pic:cNvPr id="0" name="f69ce46110fdcbc792ea.jpg"/>
                    <pic:cNvPicPr/>
                  </pic:nvPicPr>
                  <pic:blipFill>
                    <a:blip r:embed="rId12"/>
                    <a:stretch>
                      <a:fillRect/>
                    </a:stretch>
                  </pic:blipFill>
                  <pic:spPr>
                    <a:xfrm>
                      <a:off x="0" y="0"/>
                      <a:ext cx="2982098"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42.91590, 74.62126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Institute of Forest and Walnut Growing</w:t>
      </w:r>
    </w:p>
    <w:p>
      <w:pPr>
        <w:spacing w:after="100"/>
        <w:jc w:val="center"/>
      </w:pPr>
      <w:r>
        <w:rPr>
          <w:rFonts w:ascii="Arial" w:hAnsi="Arial" w:eastAsia="Arial"/>
          <w:b w:val="0"/>
          <w:color w:val="606667"/>
          <w:sz w:val="17"/>
        </w:rPr>
        <w:t>42.91590, 74.62126</w:t>
      </w:r>
    </w:p>
    <w:p>
      <w:pPr>
        <w:spacing w:before="0" w:after="20"/>
        <w:jc w:val="center"/>
      </w:pPr>
      <w:r>
        <w:drawing>
          <wp:inline xmlns:a="http://schemas.openxmlformats.org/drawingml/2006/main" xmlns:pic="http://schemas.openxmlformats.org/drawingml/2006/picture">
            <wp:extent cx="2982098" cy="2232000"/>
            <wp:docPr id="4" name="Picture 4" descr="Институт леса и ореховодства" title="Институт леса и ореховодства"/>
            <wp:cNvGraphicFramePr>
              <a:graphicFrameLocks noChangeAspect="1"/>
            </wp:cNvGraphicFramePr>
            <a:graphic>
              <a:graphicData uri="http://schemas.openxmlformats.org/drawingml/2006/picture">
                <pic:pic>
                  <pic:nvPicPr>
                    <pic:cNvPr id="0" name="f69ce46110fdcbc792ea.jpg"/>
                    <pic:cNvPicPr/>
                  </pic:nvPicPr>
                  <pic:blipFill>
                    <a:blip r:embed="rId12"/>
                    <a:stretch>
                      <a:fillRect/>
                    </a:stretch>
                  </pic:blipFill>
                  <pic:spPr>
                    <a:xfrm>
                      <a:off x="0" y="0"/>
                      <a:ext cx="2982098" cy="2232000"/>
                    </a:xfrm>
                    <a:prstGeom prst="rect"/>
                  </pic:spPr>
                </pic:pic>
              </a:graphicData>
            </a:graphic>
          </wp:inline>
        </w:drawing>
      </w:r>
    </w:p>
    <w:p>
      <w:pPr>
        <w:spacing w:after="60"/>
        <w:jc w:val="center"/>
      </w:pPr>
      <w:r>
        <w:rPr>
          <w:rFonts w:ascii="Arial" w:hAnsi="Arial" w:eastAsia="Arial"/>
          <w:b w:val="0"/>
          <w:color w:val="606667"/>
          <w:sz w:val="15"/>
        </w:rPr>
        <w:t>Институт леса и ореховодства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Institute of Forest and Walnut Growing</w:t>
      </w:r>
    </w:p>
    <w:p>
      <w:pPr>
        <w:widowControl/>
        <w:spacing w:before="0" w:after="60" w:line="247" w:lineRule="auto"/>
      </w:pPr>
      <w:r>
        <w:rPr>
          <w:rFonts w:ascii="Arial" w:hAnsi="Arial" w:eastAsia="Arial"/>
          <w:b w:val="0"/>
          <w:color w:val="242C2F"/>
          <w:sz w:val="19"/>
        </w:rPr>
        <w:t xml:space="preserve">﻿ Institute of Forest and Walnut Growing The Kyrgyz forest experimental station rose on the northern outskirts of Karagacheva Grove in 1947. Since 1990, it has been the Institute of Forestry and Walnut Growing of the National Academy of Sciences of the Kyrgyz Republic, now bearing the name of P.A. Gan. “One of the most important objects of nature conservation is forests, and this is no coincidence. The importance of forests in human life, in the </w:t>
      </w:r>
    </w:p>
    <w:p>
      <w:pPr>
        <w:spacing w:before="20" w:after="0"/>
      </w:pPr>
      <w:r>
        <w:rPr>
          <w:rFonts w:ascii="Arial" w:hAnsi="Arial" w:eastAsia="Arial"/>
          <w:b w:val="0"/>
          <w:color w:val="606667"/>
          <w:sz w:val="14"/>
        </w:rPr>
        <w:t>Source: https://bimap.su/description/frunze/469_Les.txt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42.91590, 74.62126</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Abdy Jum</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https://2gis.kg/bishkek/geo/15763234351002328/tab/photos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