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Торговые ряды</w:t>
      </w:r>
    </w:p>
    <w:p>
      <w:pPr>
        <w:jc w:val="center"/>
      </w:pPr>
      <w:r>
        <w:rPr>
          <w:rFonts w:ascii="Arial" w:hAnsi="Arial" w:eastAsia="Arial"/>
          <w:b w:val="0"/>
          <w:color w:val="606667"/>
          <w:sz w:val="17"/>
        </w:rPr>
        <w:t>42.88144, 74.61154</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548501" cy="2232000"/>
            <wp:docPr id="1" name="Picture 1"/>
            <wp:cNvGraphicFramePr>
              <a:graphicFrameLocks noChangeAspect="1"/>
            </wp:cNvGraphicFramePr>
            <a:graphic>
              <a:graphicData uri="http://schemas.openxmlformats.org/drawingml/2006/picture">
                <pic:pic>
                  <pic:nvPicPr>
                    <pic:cNvPr id="0" name="2ea8087276d52f465456.jpg"/>
                    <pic:cNvPicPr/>
                  </pic:nvPicPr>
                  <pic:blipFill>
                    <a:blip r:embed="rId12"/>
                    <a:stretch>
                      <a:fillRect/>
                    </a:stretch>
                  </pic:blipFill>
                  <pic:spPr>
                    <a:xfrm>
                      <a:off x="0" y="0"/>
                      <a:ext cx="354850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Shopping arcades</w:t>
      </w:r>
    </w:p>
    <w:p>
      <w:pPr>
        <w:spacing w:after="100"/>
        <w:jc w:val="center"/>
      </w:pPr>
      <w:r>
        <w:rPr>
          <w:rFonts w:ascii="Arial" w:hAnsi="Arial" w:eastAsia="Arial"/>
          <w:b w:val="0"/>
          <w:color w:val="606667"/>
          <w:sz w:val="17"/>
        </w:rPr>
        <w:t>42.88144, 74.61154</w:t>
      </w:r>
    </w:p>
    <w:p>
      <w:pPr>
        <w:spacing w:before="0" w:after="20"/>
        <w:jc w:val="center"/>
      </w:pPr>
      <w:r>
        <w:drawing>
          <wp:inline xmlns:a="http://schemas.openxmlformats.org/drawingml/2006/main" xmlns:pic="http://schemas.openxmlformats.org/drawingml/2006/picture">
            <wp:extent cx="3548501" cy="2232000"/>
            <wp:docPr id="3" name="Picture 3" descr="Торговые ряды" title="Торговые ряды"/>
            <wp:cNvGraphicFramePr>
              <a:graphicFrameLocks noChangeAspect="1"/>
            </wp:cNvGraphicFramePr>
            <a:graphic>
              <a:graphicData uri="http://schemas.openxmlformats.org/drawingml/2006/picture">
                <pic:pic>
                  <pic:nvPicPr>
                    <pic:cNvPr id="0" name="2ea8087276d52f465456.jpg"/>
                    <pic:cNvPicPr/>
                  </pic:nvPicPr>
                  <pic:blipFill>
                    <a:blip r:embed="rId12"/>
                    <a:stretch>
                      <a:fillRect/>
                    </a:stretch>
                  </pic:blipFill>
                  <pic:spPr>
                    <a:xfrm>
                      <a:off x="0" y="0"/>
                      <a:ext cx="3548501" cy="2232000"/>
                    </a:xfrm>
                    <a:prstGeom prst="rect"/>
                  </pic:spPr>
                </pic:pic>
              </a:graphicData>
            </a:graphic>
          </wp:inline>
        </w:drawing>
      </w:r>
    </w:p>
    <w:p>
      <w:pPr>
        <w:spacing w:after="60"/>
        <w:jc w:val="center"/>
      </w:pPr>
      <w:r>
        <w:rPr>
          <w:rFonts w:ascii="Arial" w:hAnsi="Arial" w:eastAsia="Arial"/>
          <w:b w:val="0"/>
          <w:color w:val="606667"/>
          <w:sz w:val="15"/>
        </w:rPr>
        <w:t>Торговые ряды</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Shopping arcades</w:t>
      </w:r>
    </w:p>
    <w:p>
      <w:pPr>
        <w:widowControl/>
        <w:spacing w:before="0" w:after="60" w:line="247" w:lineRule="auto"/>
      </w:pPr>
      <w:r>
        <w:rPr>
          <w:rFonts w:ascii="Arial" w:hAnsi="Arial" w:eastAsia="Arial"/>
          <w:b w:val="0"/>
          <w:color w:val="242C2F"/>
          <w:sz w:val="19"/>
        </w:rPr>
        <w:t>﻿ Shopping arcades on Bazarnaya Street, 1910. Shopping arcades were lined with a continuous series of shops and stores. The shops of prominent merchants were built of baked bricks with characteristic patterned and rusticated masonry. The cornices ended with figured pediments, turrets, and pedestals. The roofs were covered with iron. Large window and door openings were closed from the outside with forged metal shutters.</w:t>
      </w:r>
    </w:p>
    <w:p>
      <w:pPr>
        <w:spacing w:before="20" w:after="0"/>
      </w:pPr>
      <w:r>
        <w:rPr>
          <w:rFonts w:ascii="Arial" w:hAnsi="Arial" w:eastAsia="Arial"/>
          <w:b w:val="0"/>
          <w:color w:val="606667"/>
          <w:sz w:val="14"/>
        </w:rPr>
        <w:t>Source: https://bimap.su/description/pishpek/57_Riady_Bazarnoi1910.txt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42.88144, 74.61154</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42.88144, 74.61154</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