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Бани</w:t>
      </w:r>
    </w:p>
    <w:p>
      <w:pPr>
        <w:jc w:val="center"/>
      </w:pPr>
      <w:r>
        <w:rPr>
          <w:rFonts w:ascii="Arial" w:hAnsi="Arial" w:eastAsia="Arial"/>
          <w:b w:val="0"/>
          <w:color w:val="606667"/>
          <w:sz w:val="17"/>
        </w:rPr>
        <w:t>42.87182, 74.59835</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4164585" cy="2232000"/>
            <wp:docPr id="1" name="Picture 1"/>
            <wp:cNvGraphicFramePr>
              <a:graphicFrameLocks noChangeAspect="1"/>
            </wp:cNvGraphicFramePr>
            <a:graphic>
              <a:graphicData uri="http://schemas.openxmlformats.org/drawingml/2006/picture">
                <pic:pic>
                  <pic:nvPicPr>
                    <pic:cNvPr id="0" name="78f4265eb8d7a41b35b2.jpg"/>
                    <pic:cNvPicPr/>
                  </pic:nvPicPr>
                  <pic:blipFill>
                    <a:blip r:embed="rId12"/>
                    <a:stretch>
                      <a:fillRect/>
                    </a:stretch>
                  </pic:blipFill>
                  <pic:spPr>
                    <a:xfrm>
                      <a:off x="0" y="0"/>
                      <a:ext cx="4164585"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Ванналар</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164585" cy="2232000"/>
            <wp:docPr id="4" name="Picture 4" descr="Бани" title="Бани"/>
            <wp:cNvGraphicFramePr>
              <a:graphicFrameLocks noChangeAspect="1"/>
            </wp:cNvGraphicFramePr>
            <a:graphic>
              <a:graphicData uri="http://schemas.openxmlformats.org/drawingml/2006/picture">
                <pic:pic>
                  <pic:nvPicPr>
                    <pic:cNvPr id="0" name="78f4265eb8d7a41b35b2.jpg"/>
                    <pic:cNvPicPr/>
                  </pic:nvPicPr>
                  <pic:blipFill>
                    <a:blip r:embed="rId12"/>
                    <a:stretch>
                      <a:fillRect/>
                    </a:stretch>
                  </pic:blipFill>
                  <pic:spPr>
                    <a:xfrm>
                      <a:off x="0" y="0"/>
                      <a:ext cx="4164585" cy="2232000"/>
                    </a:xfrm>
                    <a:prstGeom prst="rect"/>
                  </pic:spPr>
                </pic:pic>
              </a:graphicData>
            </a:graphic>
          </wp:inline>
        </w:drawing>
      </w:r>
    </w:p>
    <w:p>
      <w:pPr>
        <w:spacing w:after="60"/>
        <w:jc w:val="center"/>
      </w:pPr>
      <w:r>
        <w:rPr>
          <w:rFonts w:ascii="Arial" w:hAnsi="Arial" w:eastAsia="Arial"/>
          <w:b w:val="0"/>
          <w:color w:val="606667"/>
          <w:sz w:val="15"/>
        </w:rPr>
        <w:t>Бани</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Ванналар</w:t>
      </w:r>
    </w:p>
    <w:p>
      <w:pPr>
        <w:widowControl/>
        <w:spacing w:before="0" w:after="60" w:line="247" w:lineRule="auto"/>
      </w:pPr>
      <w:r>
        <w:rPr>
          <w:rFonts w:ascii="Arial" w:hAnsi="Arial" w:eastAsia="Arial"/>
          <w:b w:val="0"/>
          <w:color w:val="242C2F"/>
          <w:sz w:val="19"/>
        </w:rPr>
        <w:t>﻿ Ванналар, 1932-жылдагы гезиттен алынган сүрөт Мончо, 1932-жылкы гезиттен алынган сүрөт. Больничная (Логвиненко) көчөсүндө ошол кездеги Орто Азиядагы эң чоң мончолордун ачылышы шаардыктар үчүн бассейнди жууп бүткөн. Эми алар ошол эле бассейндерге жуунчу, бирок мончодо бассейндер банда деп аталып калган. Ал эми кир жуугуч линия алдыга жылып, бул бандалар бошотулган, алардын квитанциясы билекке тагылган боолуу номерлерди берүү менен коштолгон.</w:t>
      </w:r>
    </w:p>
    <w:p>
      <w:pPr>
        <w:spacing w:before="20" w:after="0"/>
      </w:pPr>
      <w:r>
        <w:rPr>
          <w:rFonts w:ascii="Arial" w:hAnsi="Arial" w:eastAsia="Arial"/>
          <w:b w:val="0"/>
          <w:color w:val="606667"/>
          <w:sz w:val="14"/>
        </w:rPr>
        <w:t>Булак: https://bimap.su/description/frunze/359_Bani1932.txt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