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42.87182, 74.59835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Baths</w:t>
      </w:r>
    </w:p>
    <w:p>
      <w:pPr>
        <w:spacing w:after="100"/>
        <w:jc w:val="center"/>
      </w:pPr>
      <w:r>
        <w:rPr>
          <w:rFonts w:ascii="Arial" w:hAnsi="Arial" w:eastAsia="Arial"/>
          <w:b w:val="0"/>
          <w:color w:val="606667"/>
          <w:sz w:val="17"/>
        </w:rPr>
        <w:t>42.87182, 74.59835</w:t>
      </w:r>
    </w:p>
    <w:p>
      <w:pPr>
        <w:spacing w:before="0" w:after="20"/>
        <w:jc w:val="center"/>
      </w:pPr>
      <w:r>
        <w:drawing>
          <wp:inline xmlns:a="http://schemas.openxmlformats.org/drawingml/2006/main" xmlns:pic="http://schemas.openxmlformats.org/drawingml/2006/picture">
            <wp:extent cx="4164585" cy="2232000"/>
            <wp:docPr id="2" name="Picture 2" descr="Бани" title="Бани"/>
            <wp:cNvGraphicFramePr>
              <a:graphicFrameLocks noChangeAspect="1"/>
            </wp:cNvGraphicFramePr>
            <a:graphic>
              <a:graphicData uri="http://schemas.openxmlformats.org/drawingml/2006/picture">
                <pic:pic>
                  <pic:nvPicPr>
                    <pic:cNvPr id="0" name="78f4265eb8d7a41b35b2.jpg"/>
                    <pic:cNvPicPr/>
                  </pic:nvPicPr>
                  <pic:blipFill>
                    <a:blip r:embed="rId13"/>
                    <a:stretch>
                      <a:fillRect/>
                    </a:stretch>
                  </pic:blipFill>
                  <pic:spPr>
                    <a:xfrm>
                      <a:off x="0" y="0"/>
                      <a:ext cx="4164585" cy="2232000"/>
                    </a:xfrm>
                    <a:prstGeom prst="rect"/>
                  </pic:spPr>
                </pic:pic>
              </a:graphicData>
            </a:graphic>
          </wp:inline>
        </w:drawing>
      </w:r>
    </w:p>
    <w:p>
      <w:pPr>
        <w:spacing w:after="60"/>
        <w:jc w:val="center"/>
      </w:pPr>
      <w:r>
        <w:rPr>
          <w:rFonts w:ascii="Arial" w:hAnsi="Arial" w:eastAsia="Arial"/>
          <w:b w:val="0"/>
          <w:color w:val="606667"/>
          <w:sz w:val="15"/>
        </w:rPr>
        <w:t>Бани</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Baths</w:t>
      </w:r>
    </w:p>
    <w:p>
      <w:pPr>
        <w:widowControl/>
        <w:spacing w:before="0" w:after="60" w:line="247" w:lineRule="auto"/>
      </w:pPr>
      <w:r>
        <w:rPr>
          <w:rFonts w:ascii="Arial" w:hAnsi="Arial" w:eastAsia="Arial"/>
          <w:b w:val="0"/>
          <w:color w:val="242C2F"/>
          <w:sz w:val="19"/>
        </w:rPr>
        <w:t>﻿ Baths, Photo from a 1932 newspaper Baths, Photo from a 1932 newspaper. The opening of public baths on Bolnichnaya Street (Logvinenko), at that time the largest in Central Asia, ended the basin washing period for the townspeople. Now they washed themselves in the same basins, but in the bathhouse the basins were called gangs. And the line for washing moved forward as these gangs were released, the receipt of which was accompanied by the issuance</w:t>
      </w:r>
    </w:p>
    <w:p>
      <w:pPr>
        <w:spacing w:before="20" w:after="0"/>
      </w:pPr>
      <w:r>
        <w:rPr>
          <w:rFonts w:ascii="Arial" w:hAnsi="Arial" w:eastAsia="Arial"/>
          <w:b w:val="0"/>
          <w:color w:val="606667"/>
          <w:sz w:val="14"/>
        </w:rPr>
        <w:t>Source: https://bimap.su/description/frunze/359_Bani1932.txt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42.87182, 74.59835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