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42.87614, 74.61365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Fountain</w:t>
      </w:r>
    </w:p>
    <w:p>
      <w:pPr>
        <w:spacing w:after="100"/>
        <w:jc w:val="center"/>
      </w:pPr>
      <w:r>
        <w:rPr>
          <w:rFonts w:ascii="Arial" w:hAnsi="Arial" w:eastAsia="Arial"/>
          <w:b w:val="0"/>
          <w:color w:val="606667"/>
          <w:sz w:val="17"/>
        </w:rPr>
        <w:t>42.87614, 74.61365</w:t>
      </w:r>
    </w:p>
    <w:p>
      <w:pPr>
        <w:spacing w:before="0" w:after="20"/>
        <w:jc w:val="center"/>
      </w:pPr>
      <w:r>
        <w:drawing>
          <wp:inline xmlns:a="http://schemas.openxmlformats.org/drawingml/2006/main" xmlns:pic="http://schemas.openxmlformats.org/drawingml/2006/picture">
            <wp:extent cx="2202240" cy="2232000"/>
            <wp:docPr id="2" name="Picture 2" descr="Фонтан" title="Фонтан"/>
            <wp:cNvGraphicFramePr>
              <a:graphicFrameLocks noChangeAspect="1"/>
            </wp:cNvGraphicFramePr>
            <a:graphic>
              <a:graphicData uri="http://schemas.openxmlformats.org/drawingml/2006/picture">
                <pic:pic>
                  <pic:nvPicPr>
                    <pic:cNvPr id="0" name="516d08c8cf48b34160f4.jpg"/>
                    <pic:cNvPicPr/>
                  </pic:nvPicPr>
                  <pic:blipFill>
                    <a:blip r:embed="rId13"/>
                    <a:stretch>
                      <a:fillRect/>
                    </a:stretch>
                  </pic:blipFill>
                  <pic:spPr>
                    <a:xfrm>
                      <a:off x="0" y="0"/>
                      <a:ext cx="2202240" cy="2232000"/>
                    </a:xfrm>
                    <a:prstGeom prst="rect"/>
                  </pic:spPr>
                </pic:pic>
              </a:graphicData>
            </a:graphic>
          </wp:inline>
        </w:drawing>
      </w:r>
    </w:p>
    <w:p>
      <w:pPr>
        <w:spacing w:after="60"/>
        <w:jc w:val="center"/>
      </w:pPr>
      <w:r>
        <w:rPr>
          <w:rFonts w:ascii="Arial" w:hAnsi="Arial" w:eastAsia="Arial"/>
          <w:b w:val="0"/>
          <w:color w:val="606667"/>
          <w:sz w:val="15"/>
        </w:rPr>
        <w:t>Фонтан</w:t>
      </w:r>
    </w:p>
    <w:p>
      <w:pPr>
        <w:keepNext/>
        <w:spacing w:before="40" w:after="20"/>
      </w:pPr>
      <w:r>
        <w:rPr>
          <w:rFonts w:ascii="Arial" w:hAnsi="Arial" w:eastAsia="Arial"/>
          <w:b/>
          <w:color w:val="B1863E"/>
          <w:sz w:val="16"/>
        </w:rPr>
        <w:t>ENGLISH</w:t>
      </w:r>
      <w:r>
        <w:rPr>
          <w:rFonts w:ascii="Arial" w:hAnsi="Arial" w:eastAsia="Arial"/>
          <w:b/>
          <w:color w:val="242C2F"/>
          <w:sz w:val="20"/>
        </w:rPr>
        <w:t xml:space="preserve">  Fountain</w:t>
      </w:r>
    </w:p>
    <w:p>
      <w:pPr>
        <w:widowControl/>
        <w:spacing w:before="0" w:after="60" w:line="247" w:lineRule="auto"/>
      </w:pPr>
      <w:r>
        <w:rPr>
          <w:rFonts w:ascii="Arial" w:hAnsi="Arial" w:eastAsia="Arial"/>
          <w:b w:val="0"/>
          <w:color w:val="242C2F"/>
          <w:sz w:val="19"/>
        </w:rPr>
        <w:t>﻿ Fountain near the Central Department Store During the reconstruction and landscaping of the city center and the construction of public buildings and structures, fountains are built. Fountain at the Central Department Store (architect R. Mukhamadiev, A. Soltobaev and others, 1977).</w:t>
      </w:r>
    </w:p>
    <w:p>
      <w:pPr>
        <w:spacing w:before="20" w:after="0"/>
      </w:pPr>
      <w:r>
        <w:rPr>
          <w:rFonts w:ascii="Arial" w:hAnsi="Arial" w:eastAsia="Arial"/>
          <w:b w:val="0"/>
          <w:color w:val="606667"/>
          <w:sz w:val="14"/>
        </w:rPr>
        <w:t>Source: https://bimap.su/description/frunze/334_Fontan.txt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42.87614, 74.61365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