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42.87623, 74.60365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Борбордук аянттын аркадасы</w:t>
      </w:r>
    </w:p>
    <w:p>
      <w:pPr>
        <w:spacing w:after="100"/>
        <w:jc w:val="center"/>
      </w:pPr>
      <w:r>
        <w:rPr>
          <w:rFonts w:ascii="Arial" w:hAnsi="Arial" w:eastAsia="Arial"/>
          <w:b w:val="0"/>
          <w:color w:val="606667"/>
          <w:sz w:val="17"/>
        </w:rPr>
        <w:t>42.87623, 74.60365</w:t>
      </w:r>
    </w:p>
    <w:p>
      <w:pPr>
        <w:spacing w:before="0" w:after="20"/>
        <w:jc w:val="center"/>
      </w:pPr>
      <w:r>
        <w:drawing>
          <wp:inline xmlns:a="http://schemas.openxmlformats.org/drawingml/2006/main" xmlns:pic="http://schemas.openxmlformats.org/drawingml/2006/picture">
            <wp:extent cx="3482240" cy="2232000"/>
            <wp:docPr id="2" name="Picture 2" descr="Аркада Центральной площади" title="Аркада Центральной площади"/>
            <wp:cNvGraphicFramePr>
              <a:graphicFrameLocks noChangeAspect="1"/>
            </wp:cNvGraphicFramePr>
            <a:graphic>
              <a:graphicData uri="http://schemas.openxmlformats.org/drawingml/2006/picture">
                <pic:pic>
                  <pic:nvPicPr>
                    <pic:cNvPr id="0" name="e0fe6182480aaf5fff2c.jpg"/>
                    <pic:cNvPicPr/>
                  </pic:nvPicPr>
                  <pic:blipFill>
                    <a:blip r:embed="rId13"/>
                    <a:stretch>
                      <a:fillRect/>
                    </a:stretch>
                  </pic:blipFill>
                  <pic:spPr>
                    <a:xfrm>
                      <a:off x="0" y="0"/>
                      <a:ext cx="3482240" cy="2232000"/>
                    </a:xfrm>
                    <a:prstGeom prst="rect"/>
                  </pic:spPr>
                </pic:pic>
              </a:graphicData>
            </a:graphic>
          </wp:inline>
        </w:drawing>
      </w:r>
    </w:p>
    <w:p>
      <w:pPr>
        <w:spacing w:after="60"/>
        <w:jc w:val="center"/>
      </w:pPr>
      <w:r>
        <w:rPr>
          <w:rFonts w:ascii="Arial" w:hAnsi="Arial" w:eastAsia="Arial"/>
          <w:b w:val="0"/>
          <w:color w:val="606667"/>
          <w:sz w:val="15"/>
        </w:rPr>
        <w:t>Аркада Центральной площади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Борбордук аянттын аркадасы</w:t>
      </w:r>
    </w:p>
    <w:p>
      <w:pPr>
        <w:widowControl/>
        <w:spacing w:before="0" w:after="60" w:line="247" w:lineRule="auto"/>
      </w:pPr>
      <w:r>
        <w:rPr>
          <w:rFonts w:ascii="Arial" w:hAnsi="Arial" w:eastAsia="Arial"/>
          <w:b w:val="0"/>
          <w:color w:val="242C2F"/>
          <w:sz w:val="19"/>
        </w:rPr>
        <w:t>﻿ Борбордук аянттын аркадасы Архитекторлор Г. Кутателадзе, Н. Уллас жана башкалар, 1984. Шаардык оазистердин арасында майрамдык салтанаттарда же элдик толкундоолор учурунда гана жанданган жасалма чөл пайда болгон. Ак үйдүн жана музейдин бети жок мрамор текчелери, маал-маалы менен күйгүзүлгөн фонтандар, Лениндин алп эстелиги – мына ушулардын баары Ала-Тоо аянтынын кооз жерлери. 80-жылдары, шаардын жакшы жабдылган жана эл жашаган аймагынын сайтында</w:t>
      </w:r>
    </w:p>
    <w:p>
      <w:pPr>
        <w:spacing w:before="20" w:after="0"/>
      </w:pPr>
      <w:r>
        <w:rPr>
          <w:rFonts w:ascii="Arial" w:hAnsi="Arial" w:eastAsia="Arial"/>
          <w:b w:val="0"/>
          <w:color w:val="606667"/>
          <w:sz w:val="14"/>
        </w:rPr>
        <w:t>Булак: https://bimap.su/description/frunze/316_Plojad.txt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42.87623, 74.60365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