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Ташкентская жана Базарная көчөлөрүнүн бурчундагы үй</w:t>
      </w:r>
    </w:p>
    <w:p>
      <w:pPr>
        <w:spacing w:after="100"/>
        <w:jc w:val="center"/>
      </w:pPr>
      <w:r>
        <w:rPr>
          <w:rFonts w:ascii="Arial" w:hAnsi="Arial" w:eastAsia="Arial"/>
          <w:b w:val="0"/>
          <w:color w:val="606667"/>
          <w:sz w:val="17"/>
        </w:rPr>
        <w:t>42.88512, 74.61200</w:t>
      </w:r>
    </w:p>
    <w:p>
      <w:pPr>
        <w:spacing w:before="0" w:after="20"/>
        <w:jc w:val="center"/>
      </w:pPr>
      <w:r>
        <w:drawing>
          <wp:inline xmlns:a="http://schemas.openxmlformats.org/drawingml/2006/main" xmlns:pic="http://schemas.openxmlformats.org/drawingml/2006/picture">
            <wp:extent cx="3405923" cy="2232000"/>
            <wp:docPr id="1" name="Picture 1" descr="Дом на углу улиц Ташкентской и Базарной" title="Дом на углу улиц Ташкентской и Базарной"/>
            <wp:cNvGraphicFramePr>
              <a:graphicFrameLocks noChangeAspect="1"/>
            </wp:cNvGraphicFramePr>
            <a:graphic>
              <a:graphicData uri="http://schemas.openxmlformats.org/drawingml/2006/picture">
                <pic:pic>
                  <pic:nvPicPr>
                    <pic:cNvPr id="0" name="c4841dca5c31058cc98f.jpg"/>
                    <pic:cNvPicPr/>
                  </pic:nvPicPr>
                  <pic:blipFill>
                    <a:blip r:embed="rId12"/>
                    <a:stretch>
                      <a:fillRect/>
                    </a:stretch>
                  </pic:blipFill>
                  <pic:spPr>
                    <a:xfrm>
                      <a:off x="0" y="0"/>
                      <a:ext cx="3405923" cy="2232000"/>
                    </a:xfrm>
                    <a:prstGeom prst="rect"/>
                  </pic:spPr>
                </pic:pic>
              </a:graphicData>
            </a:graphic>
          </wp:inline>
        </w:drawing>
      </w:r>
    </w:p>
    <w:p>
      <w:pPr>
        <w:spacing w:after="60"/>
        <w:jc w:val="center"/>
      </w:pPr>
      <w:r>
        <w:rPr>
          <w:rFonts w:ascii="Arial" w:hAnsi="Arial" w:eastAsia="Arial"/>
          <w:b w:val="0"/>
          <w:color w:val="606667"/>
          <w:sz w:val="15"/>
        </w:rPr>
        <w:t>Дом на углу улиц Ташкентской и Базарной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Ташкентская жана Базарная көчөлөрүнүн бурчундагы үй</w:t>
      </w:r>
    </w:p>
    <w:p>
      <w:pPr>
        <w:widowControl/>
        <w:spacing w:before="0" w:after="60" w:line="247" w:lineRule="auto"/>
      </w:pPr>
      <w:r>
        <w:rPr>
          <w:rFonts w:ascii="Arial" w:hAnsi="Arial" w:eastAsia="Arial"/>
          <w:b w:val="0"/>
          <w:color w:val="242C2F"/>
          <w:sz w:val="19"/>
        </w:rPr>
        <w:t>﻿ Ташкентская жана Базарная көчөлөрүнүн түндүк-чыгыш бурчундагы үй. 20-кылымдын башы 19-кылымдын аягы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кирпич жасалгасы менен кооздолгон кирпичтен жасалган жертөлө болгон. Жогорку кабаттардын дубалдары каркас-жыгач же журнал болуп саналат. Бөл</w:t>
      </w:r>
    </w:p>
    <w:p>
      <w:pPr>
        <w:spacing w:before="20" w:after="0"/>
      </w:pPr>
      <w:r>
        <w:rPr>
          <w:rFonts w:ascii="Arial" w:hAnsi="Arial" w:eastAsia="Arial"/>
          <w:b w:val="0"/>
          <w:color w:val="606667"/>
          <w:sz w:val="14"/>
        </w:rPr>
        <w:t>Булак: https://bimap.su/description/pishpek/52_Dom_ugol_Tashkent_Bazar.txt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42.88512, 74.61200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42.88512, 74.61200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