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42.87921, 74.61615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Victory Square and Monument</w:t>
      </w:r>
    </w:p>
    <w:p>
      <w:pPr>
        <w:spacing w:after="100"/>
        <w:jc w:val="center"/>
      </w:pPr>
      <w:r>
        <w:rPr>
          <w:rFonts w:ascii="Arial" w:hAnsi="Arial" w:eastAsia="Arial"/>
          <w:b w:val="0"/>
          <w:color w:val="606667"/>
          <w:sz w:val="17"/>
        </w:rPr>
        <w:t>42.87921, 74.61615</w:t>
      </w:r>
    </w:p>
    <w:p>
      <w:pPr>
        <w:spacing w:before="0" w:after="20"/>
        <w:jc w:val="center"/>
      </w:pPr>
      <w:r>
        <w:drawing>
          <wp:inline xmlns:a="http://schemas.openxmlformats.org/drawingml/2006/main" xmlns:pic="http://schemas.openxmlformats.org/drawingml/2006/picture">
            <wp:extent cx="2232000" cy="2232000"/>
            <wp:docPr id="2" name="Picture 2" descr="Площадь и памятник Победы" title="Площадь и памятник Победы"/>
            <wp:cNvGraphicFramePr>
              <a:graphicFrameLocks noChangeAspect="1"/>
            </wp:cNvGraphicFramePr>
            <a:graphic>
              <a:graphicData uri="http://schemas.openxmlformats.org/drawingml/2006/picture">
                <pic:pic>
                  <pic:nvPicPr>
                    <pic:cNvPr id="0" name="7da602c80d42121b6d4e.jpg"/>
                    <pic:cNvPicPr/>
                  </pic:nvPicPr>
                  <pic:blipFill>
                    <a:blip r:embed="rId13"/>
                    <a:stretch>
                      <a:fillRect/>
                    </a:stretch>
                  </pic:blipFill>
                  <pic:spPr>
                    <a:xfrm>
                      <a:off x="0" y="0"/>
                      <a:ext cx="2232000" cy="2232000"/>
                    </a:xfrm>
                    <a:prstGeom prst="rect"/>
                  </pic:spPr>
                </pic:pic>
              </a:graphicData>
            </a:graphic>
          </wp:inline>
        </w:drawing>
      </w:r>
    </w:p>
    <w:p>
      <w:pPr>
        <w:spacing w:after="60"/>
        <w:jc w:val="center"/>
      </w:pPr>
      <w:r>
        <w:rPr>
          <w:rFonts w:ascii="Arial" w:hAnsi="Arial" w:eastAsia="Arial"/>
          <w:b w:val="0"/>
          <w:color w:val="606667"/>
          <w:sz w:val="15"/>
        </w:rPr>
        <w:t>Площадь и памятник Победы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Victory Square and Monument</w:t>
      </w:r>
    </w:p>
    <w:p>
      <w:pPr>
        <w:widowControl/>
        <w:spacing w:before="0" w:after="60" w:line="247" w:lineRule="auto"/>
      </w:pPr>
      <w:r>
        <w:rPr>
          <w:rFonts w:ascii="Arial" w:hAnsi="Arial" w:eastAsia="Arial"/>
          <w:b w:val="0"/>
          <w:color w:val="242C2F"/>
          <w:sz w:val="19"/>
        </w:rPr>
        <w:t xml:space="preserve">﻿ Victory Square and Monument The architectural and sculptural composition was built in 1985, on the 40th anniversary of the victory in World War II. Sculptors T. Sadykov, M. K. Anikushkin, architects - V. Lyzenko, V. B. Bukhaev. Three stone arches represent a yurt in which a woman stands over the eternal fire, awaiting the return of her husband and sons from the war. Two other compositions: a sculptural image of soldiers carrying a machine gun, </w:t>
      </w:r>
    </w:p>
    <w:p>
      <w:pPr>
        <w:spacing w:before="20" w:after="0"/>
      </w:pPr>
      <w:r>
        <w:rPr>
          <w:rFonts w:ascii="Arial" w:hAnsi="Arial" w:eastAsia="Arial"/>
          <w:b w:val="0"/>
          <w:color w:val="606667"/>
          <w:sz w:val="14"/>
        </w:rPr>
        <w:t>Source: https://bimap.su/description/frunze/312_Pobeda.txt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42.87921, 74.61615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