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20-кылымдын башындагы шаар үйү</w:t>
      </w:r>
    </w:p>
    <w:p>
      <w:pPr>
        <w:spacing w:after="100"/>
        <w:jc w:val="center"/>
      </w:pPr>
      <w:r>
        <w:rPr>
          <w:rFonts w:ascii="Arial" w:hAnsi="Arial" w:eastAsia="Arial"/>
          <w:b w:val="0"/>
          <w:color w:val="606667"/>
          <w:sz w:val="17"/>
        </w:rPr>
        <w:t>42.88577, 74.61201</w:t>
      </w:r>
    </w:p>
    <w:p>
      <w:pPr>
        <w:spacing w:before="0" w:after="20"/>
        <w:jc w:val="center"/>
      </w:pPr>
      <w:r>
        <w:drawing>
          <wp:inline xmlns:a="http://schemas.openxmlformats.org/drawingml/2006/main" xmlns:pic="http://schemas.openxmlformats.org/drawingml/2006/picture">
            <wp:extent cx="3031077" cy="2232000"/>
            <wp:docPr id="1" name="Picture 1" descr="Городской дом начала ХХ века" title="Городской дом начала ХХ века"/>
            <wp:cNvGraphicFramePr>
              <a:graphicFrameLocks noChangeAspect="1"/>
            </wp:cNvGraphicFramePr>
            <a:graphic>
              <a:graphicData uri="http://schemas.openxmlformats.org/drawingml/2006/picture">
                <pic:pic>
                  <pic:nvPicPr>
                    <pic:cNvPr id="0" name="82bd3b9a762d1003fdff.jpg"/>
                    <pic:cNvPicPr/>
                  </pic:nvPicPr>
                  <pic:blipFill>
                    <a:blip r:embed="rId12"/>
                    <a:stretch>
                      <a:fillRect/>
                    </a:stretch>
                  </pic:blipFill>
                  <pic:spPr>
                    <a:xfrm>
                      <a:off x="0" y="0"/>
                      <a:ext cx="3031077" cy="2232000"/>
                    </a:xfrm>
                    <a:prstGeom prst="rect"/>
                  </pic:spPr>
                </pic:pic>
              </a:graphicData>
            </a:graphic>
          </wp:inline>
        </w:drawing>
      </w:r>
    </w:p>
    <w:p>
      <w:pPr>
        <w:spacing w:after="60"/>
        <w:jc w:val="center"/>
      </w:pPr>
      <w:r>
        <w:rPr>
          <w:rFonts w:ascii="Arial" w:hAnsi="Arial" w:eastAsia="Arial"/>
          <w:b w:val="0"/>
          <w:color w:val="606667"/>
          <w:sz w:val="15"/>
        </w:rPr>
        <w:t>Городской дом начала ХХ века · Владимира Петрова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20-кылымдын башындагы шаар үйү</w:t>
      </w:r>
    </w:p>
    <w:p>
      <w:pPr>
        <w:widowControl/>
        <w:spacing w:before="0" w:after="60" w:line="247" w:lineRule="auto"/>
      </w:pPr>
      <w:r>
        <w:rPr>
          <w:rFonts w:ascii="Arial" w:hAnsi="Arial" w:eastAsia="Arial"/>
          <w:b w:val="0"/>
          <w:color w:val="242C2F"/>
          <w:sz w:val="19"/>
        </w:rPr>
        <w:t>, Ильинскаянын үстүндөгү Базарная көчөсү 19-кылымдын аягы - 20-кылымдын башы шаардын көрктөндүрүү жана шаар мүлкүнүн башында чоң үйлөрдүн курулушу менен мүнөздөлөт. Үйлөр брусчаткадан же брусчаткадан тургузулган бийик таш пайдубалдардын үстүндө турушкан, анын үстүндө кирпич жасалгасы менен кооздолгон кирпичтен жасалган жертөлө болгон. Жогорку кабаттардын дубалдары каркас-жыгач же журнал болуп саналат. Бөлмөлөрдүн саны шаар тургунунун байлыгына жа</w:t>
      </w:r>
    </w:p>
    <w:p>
      <w:pPr>
        <w:spacing w:before="20" w:after="0"/>
      </w:pPr>
      <w:r>
        <w:rPr>
          <w:rFonts w:ascii="Arial" w:hAnsi="Arial" w:eastAsia="Arial"/>
          <w:b w:val="0"/>
          <w:color w:val="606667"/>
          <w:sz w:val="14"/>
        </w:rPr>
        <w:t>Булак: https://bimap.su/description/pishpek/51_Dom_na_Bazar_vishe_Ilin.txt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42.88577, 74.61201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42.88577, 74.61201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