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City house of the early 20th century</w:t>
      </w:r>
    </w:p>
    <w:p>
      <w:pPr>
        <w:spacing w:after="100"/>
        <w:jc w:val="center"/>
      </w:pPr>
      <w:r>
        <w:rPr>
          <w:rFonts w:ascii="Arial" w:hAnsi="Arial" w:eastAsia="Arial"/>
          <w:b w:val="0"/>
          <w:color w:val="606667"/>
          <w:sz w:val="17"/>
        </w:rPr>
        <w:t>42.88577, 74.61201</w:t>
      </w:r>
    </w:p>
    <w:p>
      <w:pPr>
        <w:spacing w:before="0" w:after="20"/>
        <w:jc w:val="center"/>
      </w:pPr>
      <w:r>
        <w:drawing>
          <wp:inline xmlns:a="http://schemas.openxmlformats.org/drawingml/2006/main" xmlns:pic="http://schemas.openxmlformats.org/drawingml/2006/picture">
            <wp:extent cx="3031077" cy="2232000"/>
            <wp:docPr id="1" name="Picture 1" descr="Городской дом начала ХХ века" title="Городской дом начала ХХ века"/>
            <wp:cNvGraphicFramePr>
              <a:graphicFrameLocks noChangeAspect="1"/>
            </wp:cNvGraphicFramePr>
            <a:graphic>
              <a:graphicData uri="http://schemas.openxmlformats.org/drawingml/2006/picture">
                <pic:pic>
                  <pic:nvPicPr>
                    <pic:cNvPr id="0" name="82bd3b9a762d1003fdff.jpg"/>
                    <pic:cNvPicPr/>
                  </pic:nvPicPr>
                  <pic:blipFill>
                    <a:blip r:embed="rId12"/>
                    <a:stretch>
                      <a:fillRect/>
                    </a:stretch>
                  </pic:blipFill>
                  <pic:spPr>
                    <a:xfrm>
                      <a:off x="0" y="0"/>
                      <a:ext cx="3031077" cy="2232000"/>
                    </a:xfrm>
                    <a:prstGeom prst="rect"/>
                  </pic:spPr>
                </pic:pic>
              </a:graphicData>
            </a:graphic>
          </wp:inline>
        </w:drawing>
      </w:r>
    </w:p>
    <w:p>
      <w:pPr>
        <w:spacing w:after="60"/>
        <w:jc w:val="center"/>
      </w:pPr>
      <w:r>
        <w:rPr>
          <w:rFonts w:ascii="Arial" w:hAnsi="Arial" w:eastAsia="Arial"/>
          <w:b w:val="0"/>
          <w:color w:val="606667"/>
          <w:sz w:val="15"/>
        </w:rPr>
        <w:t>Городской дом начала ХХ века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house of the early 20th century</w:t>
      </w:r>
    </w:p>
    <w:p>
      <w:pPr>
        <w:widowControl/>
        <w:spacing w:before="0" w:after="60" w:line="247" w:lineRule="auto"/>
      </w:pPr>
      <w:r>
        <w:rPr>
          <w:rFonts w:ascii="Arial" w:hAnsi="Arial" w:eastAsia="Arial"/>
          <w:b w:val="0"/>
          <w:color w:val="242C2F"/>
          <w:sz w:val="19"/>
        </w:rPr>
        <w:t>, Bazarnaya Street above Ilyinskaya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with a patterned decor of the brickwork. The walls of the upper floors are frame-wooden or log. The number of rooms was determin</w:t>
      </w:r>
    </w:p>
    <w:p>
      <w:pPr>
        <w:spacing w:before="20" w:after="0"/>
      </w:pPr>
      <w:r>
        <w:rPr>
          <w:rFonts w:ascii="Arial" w:hAnsi="Arial" w:eastAsia="Arial"/>
          <w:b w:val="0"/>
          <w:color w:val="606667"/>
          <w:sz w:val="14"/>
        </w:rPr>
        <w:t>Source: https://bimap.su/description/pishpek/51_Dom_na_Bazar_vishe_Ilin.txt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42.88577, 74.61201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42.88577, 74.61201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