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42.87649, 74.59570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Машина куруу техникуму.</w:t>
      </w:r>
    </w:p>
    <w:p>
      <w:pPr>
        <w:spacing w:after="100"/>
        <w:jc w:val="center"/>
      </w:pPr>
      <w:r>
        <w:rPr>
          <w:rFonts w:ascii="Arial" w:hAnsi="Arial" w:eastAsia="Arial"/>
          <w:b w:val="0"/>
          <w:color w:val="606667"/>
          <w:sz w:val="17"/>
        </w:rPr>
        <w:t>42.87649, 74.59570</w:t>
      </w:r>
    </w:p>
    <w:p>
      <w:pPr>
        <w:spacing w:before="0" w:after="20"/>
        <w:jc w:val="center"/>
      </w:pPr>
      <w:r>
        <w:drawing>
          <wp:inline xmlns:a="http://schemas.openxmlformats.org/drawingml/2006/main" xmlns:pic="http://schemas.openxmlformats.org/drawingml/2006/picture">
            <wp:extent cx="2308965" cy="2232000"/>
            <wp:docPr id="2" name="Picture 2" descr="Машиностроительный техникум." title="Машиностроительный техникум."/>
            <wp:cNvGraphicFramePr>
              <a:graphicFrameLocks noChangeAspect="1"/>
            </wp:cNvGraphicFramePr>
            <a:graphic>
              <a:graphicData uri="http://schemas.openxmlformats.org/drawingml/2006/picture">
                <pic:pic>
                  <pic:nvPicPr>
                    <pic:cNvPr id="0" name="63a7de6ead7c73d09633.jpg"/>
                    <pic:cNvPicPr/>
                  </pic:nvPicPr>
                  <pic:blipFill>
                    <a:blip r:embed="rId13"/>
                    <a:stretch>
                      <a:fillRect/>
                    </a:stretch>
                  </pic:blipFill>
                  <pic:spPr>
                    <a:xfrm>
                      <a:off x="0" y="0"/>
                      <a:ext cx="2308965" cy="2232000"/>
                    </a:xfrm>
                    <a:prstGeom prst="rect"/>
                  </pic:spPr>
                </pic:pic>
              </a:graphicData>
            </a:graphic>
          </wp:inline>
        </w:drawing>
      </w:r>
    </w:p>
    <w:p>
      <w:pPr>
        <w:spacing w:after="60"/>
        <w:jc w:val="center"/>
      </w:pPr>
      <w:r>
        <w:rPr>
          <w:rFonts w:ascii="Arial" w:hAnsi="Arial" w:eastAsia="Arial"/>
          <w:b w:val="0"/>
          <w:color w:val="606667"/>
          <w:sz w:val="15"/>
        </w:rPr>
        <w:t>Машиностроительный техникум. · Виктора Глумскова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Машина куруу техникуму.</w:t>
      </w:r>
    </w:p>
    <w:p>
      <w:pPr>
        <w:widowControl/>
        <w:spacing w:before="0" w:after="60" w:line="247" w:lineRule="auto"/>
      </w:pPr>
      <w:r>
        <w:rPr>
          <w:rFonts w:ascii="Arial" w:hAnsi="Arial" w:eastAsia="Arial"/>
          <w:b w:val="0"/>
          <w:color w:val="242C2F"/>
          <w:sz w:val="19"/>
        </w:rPr>
        <w:t>﻿ Машина куруу колледжи Машина куруу колледжи. Архитектор Е.Писарская, 1966. Архитектор Евгений Гаврилович Писарской (1918–2013). Фрунзе шаарындагы көптөгөн долбоорлордун автору: Кирпотребсоюздун имараты (анын биринчи долбоору), Тубин институту, ВДНХ, Медицина институту, Дене тарбия институту, Политехникалык техникум, Соода техникумы, Машина куруу техникуму, Сүрөтчүлөр үйү, эски аэровокзалдын имараты жана башка көптөгөн имараттар, эстеликтер жана</w:t>
      </w:r>
    </w:p>
    <w:p>
      <w:pPr>
        <w:spacing w:before="20" w:after="0"/>
      </w:pPr>
      <w:r>
        <w:rPr>
          <w:rFonts w:ascii="Arial" w:hAnsi="Arial" w:eastAsia="Arial"/>
          <w:b w:val="0"/>
          <w:color w:val="606667"/>
          <w:sz w:val="14"/>
        </w:rPr>
        <w:t>Булак: https://bimap.su/description/frunze/298_Mashtehnikum.txt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42.87649, 74.59570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