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42.84226, 74.61056</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Tubin Institute</w:t>
      </w:r>
    </w:p>
    <w:p>
      <w:pPr>
        <w:spacing w:after="100"/>
        <w:jc w:val="center"/>
      </w:pPr>
      <w:r>
        <w:rPr>
          <w:rFonts w:ascii="Arial" w:hAnsi="Arial" w:eastAsia="Arial"/>
          <w:b w:val="0"/>
          <w:color w:val="606667"/>
          <w:sz w:val="17"/>
        </w:rPr>
        <w:t>42.84226, 74.61056</w:t>
      </w:r>
    </w:p>
    <w:p>
      <w:pPr>
        <w:spacing w:before="0" w:after="20"/>
        <w:jc w:val="center"/>
      </w:pPr>
      <w:r>
        <w:drawing>
          <wp:inline xmlns:a="http://schemas.openxmlformats.org/drawingml/2006/main" xmlns:pic="http://schemas.openxmlformats.org/drawingml/2006/picture">
            <wp:extent cx="2975999" cy="2232000"/>
            <wp:docPr id="2" name="Picture 2" descr="Тубинститут" title="Тубинститут"/>
            <wp:cNvGraphicFramePr>
              <a:graphicFrameLocks noChangeAspect="1"/>
            </wp:cNvGraphicFramePr>
            <a:graphic>
              <a:graphicData uri="http://schemas.openxmlformats.org/drawingml/2006/picture">
                <pic:pic>
                  <pic:nvPicPr>
                    <pic:cNvPr id="0" name="c62fa21cf2ea1be4ad03.jpg"/>
                    <pic:cNvPicPr/>
                  </pic:nvPicPr>
                  <pic:blipFill>
                    <a:blip r:embed="rId13"/>
                    <a:stretch>
                      <a:fillRect/>
                    </a:stretch>
                  </pic:blipFill>
                  <pic:spPr>
                    <a:xfrm>
                      <a:off x="0" y="0"/>
                      <a:ext cx="2975999" cy="2232000"/>
                    </a:xfrm>
                    <a:prstGeom prst="rect"/>
                  </pic:spPr>
                </pic:pic>
              </a:graphicData>
            </a:graphic>
          </wp:inline>
        </w:drawing>
      </w:r>
    </w:p>
    <w:p>
      <w:pPr>
        <w:spacing w:after="60"/>
        <w:jc w:val="center"/>
      </w:pPr>
      <w:r>
        <w:rPr>
          <w:rFonts w:ascii="Arial" w:hAnsi="Arial" w:eastAsia="Arial"/>
          <w:b w:val="0"/>
          <w:color w:val="606667"/>
          <w:sz w:val="15"/>
        </w:rPr>
        <w:t>Тубинститут · Виктора Глумскова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Tubin Institute</w:t>
      </w:r>
    </w:p>
    <w:p>
      <w:pPr>
        <w:widowControl/>
        <w:spacing w:before="0" w:after="60" w:line="247" w:lineRule="auto"/>
      </w:pPr>
      <w:r>
        <w:rPr>
          <w:rFonts w:ascii="Arial" w:hAnsi="Arial" w:eastAsia="Arial"/>
          <w:b w:val="0"/>
          <w:color w:val="242C2F"/>
          <w:sz w:val="19"/>
        </w:rPr>
        <w:t>﻿ Tubin Institute Tuberculosis Institute. Architect E. Pisarskaya, 1950. The Tubin Institute building was built far from the dusty and noisy city streets, when Sovetskaya Street ended, right behind the railway. Architect Evgeny Gavrilovich Pisarskoy (1918–2013). Author of many projects in the city of Frunze: the Kirpotrebsoyuz building (his first project), the Tubin Institute, VDNKh, the Medical Institute, the Institute of Physical Education, the</w:t>
      </w:r>
    </w:p>
    <w:p>
      <w:pPr>
        <w:spacing w:before="20" w:after="0"/>
      </w:pPr>
      <w:r>
        <w:rPr>
          <w:rFonts w:ascii="Arial" w:hAnsi="Arial" w:eastAsia="Arial"/>
          <w:b w:val="0"/>
          <w:color w:val="606667"/>
          <w:sz w:val="14"/>
        </w:rPr>
        <w:t>Source: https://bimap.su/description/frunze/296_Tubinstitut.txt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42.84226, 74.61056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