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42.86341, 74.62327</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Киргизавтомаш</w:t>
      </w:r>
    </w:p>
    <w:p>
      <w:pPr>
        <w:spacing w:after="100"/>
        <w:jc w:val="center"/>
      </w:pPr>
      <w:r>
        <w:rPr>
          <w:rFonts w:ascii="Arial" w:hAnsi="Arial" w:eastAsia="Arial"/>
          <w:b w:val="0"/>
          <w:color w:val="606667"/>
          <w:sz w:val="17"/>
        </w:rPr>
        <w:t>42.86341, 74.62327</w:t>
      </w:r>
    </w:p>
    <w:p>
      <w:pPr>
        <w:spacing w:before="0" w:after="20"/>
        <w:jc w:val="center"/>
      </w:pPr>
      <w:r>
        <w:drawing>
          <wp:inline xmlns:a="http://schemas.openxmlformats.org/drawingml/2006/main" xmlns:pic="http://schemas.openxmlformats.org/drawingml/2006/picture">
            <wp:extent cx="2232000" cy="2232000"/>
            <wp:docPr id="2" name="Picture 2" descr="Киргизавтомаш" title="Киргизавтомаш"/>
            <wp:cNvGraphicFramePr>
              <a:graphicFrameLocks noChangeAspect="1"/>
            </wp:cNvGraphicFramePr>
            <a:graphic>
              <a:graphicData uri="http://schemas.openxmlformats.org/drawingml/2006/picture">
                <pic:pic>
                  <pic:nvPicPr>
                    <pic:cNvPr id="0" name="2d2fd5fd09d6109623e6.jpg"/>
                    <pic:cNvPicPr/>
                  </pic:nvPicPr>
                  <pic:blipFill>
                    <a:blip r:embed="rId13"/>
                    <a:stretch>
                      <a:fillRect/>
                    </a:stretch>
                  </pic:blipFill>
                  <pic:spPr>
                    <a:xfrm>
                      <a:off x="0" y="0"/>
                      <a:ext cx="2232000" cy="2232000"/>
                    </a:xfrm>
                    <a:prstGeom prst="rect"/>
                  </pic:spPr>
                </pic:pic>
              </a:graphicData>
            </a:graphic>
          </wp:inline>
        </w:drawing>
      </w:r>
    </w:p>
    <w:p>
      <w:pPr>
        <w:spacing w:after="60"/>
        <w:jc w:val="center"/>
      </w:pPr>
      <w:r>
        <w:rPr>
          <w:rFonts w:ascii="Arial" w:hAnsi="Arial" w:eastAsia="Arial"/>
          <w:b w:val="0"/>
          <w:color w:val="606667"/>
          <w:sz w:val="15"/>
        </w:rPr>
        <w:t>Киргизавтомаш</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Киргизавтомаш</w:t>
      </w:r>
    </w:p>
    <w:p>
      <w:pPr>
        <w:widowControl/>
        <w:spacing w:before="0" w:after="60" w:line="247" w:lineRule="auto"/>
      </w:pPr>
      <w:r>
        <w:rPr>
          <w:rFonts w:ascii="Arial" w:hAnsi="Arial" w:eastAsia="Arial"/>
          <w:b w:val="0"/>
          <w:color w:val="242C2F"/>
          <w:sz w:val="19"/>
        </w:rPr>
        <w:t>﻿ Киргизавтомаш. Даяр продукциялар. Ал эми Фрунзедеги ТЭЦте, Кыргыз автомобиль куруучу заводдо ар турдуу маркадагы автомобилдерди муздатуу жана жылытуу системалары учун радиаторлор, автосамосвалдар учун гидравликалык лифттер, мотоциклдер учун каптал чиркегичтер, автомобиль жана трактордук чиркегичтер, автосамосвалдар учун кузов, суу жана бензин учун автоцистерналар, ар кандай максаттагы чоюн чыгарылат. 1947-жылы ширенке заводунун өндүрүштүк жайын</w:t>
      </w:r>
    </w:p>
    <w:p>
      <w:pPr>
        <w:spacing w:before="20" w:after="0"/>
      </w:pPr>
      <w:r>
        <w:rPr>
          <w:rFonts w:ascii="Arial" w:hAnsi="Arial" w:eastAsia="Arial"/>
          <w:b w:val="0"/>
          <w:color w:val="606667"/>
          <w:sz w:val="14"/>
        </w:rPr>
        <w:t>Булак: https://bimap.su/description/frunze/295_Avtomash.txt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42.86341, 74.62327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