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42.86341, 74.62327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Kirgizavtomash</w:t>
      </w:r>
    </w:p>
    <w:p>
      <w:pPr>
        <w:spacing w:after="100"/>
        <w:jc w:val="center"/>
      </w:pPr>
      <w:r>
        <w:rPr>
          <w:rFonts w:ascii="Arial" w:hAnsi="Arial" w:eastAsia="Arial"/>
          <w:b w:val="0"/>
          <w:color w:val="606667"/>
          <w:sz w:val="17"/>
        </w:rPr>
        <w:t>42.86341, 74.62327</w:t>
      </w:r>
    </w:p>
    <w:p>
      <w:pPr>
        <w:spacing w:before="0" w:after="20"/>
        <w:jc w:val="center"/>
      </w:pPr>
      <w:r>
        <w:drawing>
          <wp:inline xmlns:a="http://schemas.openxmlformats.org/drawingml/2006/main" xmlns:pic="http://schemas.openxmlformats.org/drawingml/2006/picture">
            <wp:extent cx="2232000" cy="2232000"/>
            <wp:docPr id="2" name="Picture 2" descr="Киргизавтомаш" title="Киргизавтомаш"/>
            <wp:cNvGraphicFramePr>
              <a:graphicFrameLocks noChangeAspect="1"/>
            </wp:cNvGraphicFramePr>
            <a:graphic>
              <a:graphicData uri="http://schemas.openxmlformats.org/drawingml/2006/picture">
                <pic:pic>
                  <pic:nvPicPr>
                    <pic:cNvPr id="0" name="2d2fd5fd09d6109623e6.jpg"/>
                    <pic:cNvPicPr/>
                  </pic:nvPicPr>
                  <pic:blipFill>
                    <a:blip r:embed="rId13"/>
                    <a:stretch>
                      <a:fillRect/>
                    </a:stretch>
                  </pic:blipFill>
                  <pic:spPr>
                    <a:xfrm>
                      <a:off x="0" y="0"/>
                      <a:ext cx="2232000" cy="2232000"/>
                    </a:xfrm>
                    <a:prstGeom prst="rect"/>
                  </pic:spPr>
                </pic:pic>
              </a:graphicData>
            </a:graphic>
          </wp:inline>
        </w:drawing>
      </w:r>
    </w:p>
    <w:p>
      <w:pPr>
        <w:spacing w:after="60"/>
        <w:jc w:val="center"/>
      </w:pPr>
      <w:r>
        <w:rPr>
          <w:rFonts w:ascii="Arial" w:hAnsi="Arial" w:eastAsia="Arial"/>
          <w:b w:val="0"/>
          <w:color w:val="606667"/>
          <w:sz w:val="15"/>
        </w:rPr>
        <w:t>Киргизавтомаш</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Kirgizavtomash</w:t>
      </w:r>
    </w:p>
    <w:p>
      <w:pPr>
        <w:widowControl/>
        <w:spacing w:before="0" w:after="60" w:line="247" w:lineRule="auto"/>
      </w:pPr>
      <w:r>
        <w:rPr>
          <w:rFonts w:ascii="Arial" w:hAnsi="Arial" w:eastAsia="Arial"/>
          <w:b w:val="0"/>
          <w:color w:val="242C2F"/>
          <w:sz w:val="19"/>
        </w:rPr>
        <w:t>﻿ Kirgizavtomash. Finished products. In the background, the Frunzenskaya CHPP, the Kyrgyz Automotive Engineering Plant produces radiators for cooling and heating systems for cars of various brands, hydraulic lifts for dump trucks, side trailers for motorcycles, car and tractor trailers, bodies for dump trucks, tank trucks for water and gasoline, and cast iron for various purposes. Founded in 1947 as a mechanical repair plant on the basis of the p</w:t>
      </w:r>
    </w:p>
    <w:p>
      <w:pPr>
        <w:spacing w:before="20" w:after="0"/>
      </w:pPr>
      <w:r>
        <w:rPr>
          <w:rFonts w:ascii="Arial" w:hAnsi="Arial" w:eastAsia="Arial"/>
          <w:b w:val="0"/>
          <w:color w:val="606667"/>
          <w:sz w:val="14"/>
        </w:rPr>
        <w:t>Source: https://bimap.su/description/frunze/295_Avtomash.txt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42.86341, 74.62327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