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the corner of Iskakovskaya and Vasilyevskaya</w:t>
      </w:r>
    </w:p>
    <w:p>
      <w:pPr>
        <w:spacing w:after="100"/>
        <w:jc w:val="center"/>
      </w:pPr>
      <w:r>
        <w:rPr>
          <w:rFonts w:ascii="Arial" w:hAnsi="Arial" w:eastAsia="Arial"/>
          <w:b w:val="0"/>
          <w:color w:val="606667"/>
          <w:sz w:val="17"/>
        </w:rPr>
        <w:t>42.86931, 74.60370</w:t>
      </w:r>
    </w:p>
    <w:p>
      <w:pPr>
        <w:spacing w:before="0" w:after="20"/>
        <w:jc w:val="center"/>
      </w:pPr>
      <w:r>
        <w:drawing>
          <wp:inline xmlns:a="http://schemas.openxmlformats.org/drawingml/2006/main" xmlns:pic="http://schemas.openxmlformats.org/drawingml/2006/picture">
            <wp:extent cx="3305833" cy="2232000"/>
            <wp:docPr id="1" name="Picture 1" descr="Дом на углу Искаковской и Васильевской" title="Дом на углу Искаковской и Васильевской"/>
            <wp:cNvGraphicFramePr>
              <a:graphicFrameLocks noChangeAspect="1"/>
            </wp:cNvGraphicFramePr>
            <a:graphic>
              <a:graphicData uri="http://schemas.openxmlformats.org/drawingml/2006/picture">
                <pic:pic>
                  <pic:nvPicPr>
                    <pic:cNvPr id="0" name="9e61f812025154e0b8c3.jpg"/>
                    <pic:cNvPicPr/>
                  </pic:nvPicPr>
                  <pic:blipFill>
                    <a:blip r:embed="rId12"/>
                    <a:stretch>
                      <a:fillRect/>
                    </a:stretch>
                  </pic:blipFill>
                  <pic:spPr>
                    <a:xfrm>
                      <a:off x="0" y="0"/>
                      <a:ext cx="3305833" cy="2232000"/>
                    </a:xfrm>
                    <a:prstGeom prst="rect"/>
                  </pic:spPr>
                </pic:pic>
              </a:graphicData>
            </a:graphic>
          </wp:inline>
        </w:drawing>
      </w:r>
    </w:p>
    <w:p>
      <w:pPr>
        <w:spacing w:after="60"/>
        <w:jc w:val="center"/>
      </w:pPr>
      <w:r>
        <w:rPr>
          <w:rFonts w:ascii="Arial" w:hAnsi="Arial" w:eastAsia="Arial"/>
          <w:b w:val="0"/>
          <w:color w:val="606667"/>
          <w:sz w:val="15"/>
        </w:rPr>
        <w:t>Дом на углу Искаковской и Васильевской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the corner of Iskakovskaya and Vasilyevskaya</w:t>
      </w:r>
    </w:p>
    <w:p>
      <w:pPr>
        <w:widowControl/>
        <w:spacing w:before="0" w:after="60" w:line="247" w:lineRule="auto"/>
      </w:pPr>
      <w:r>
        <w:rPr>
          <w:rFonts w:ascii="Arial" w:hAnsi="Arial" w:eastAsia="Arial"/>
          <w:b w:val="0"/>
          <w:color w:val="242C2F"/>
          <w:sz w:val="19"/>
        </w:rPr>
        <w:t xml:space="preserve">﻿ House on the north-eastern corner of Bazarnaya and Dunganskaya streets. Beginning of the twentieth century The construction of residential buildings in the city of Pishpek was carried out strictly according to plan. Rectilinear streets formed squares or rectangles of blocks and in one block there were four to six plots, each with an area of ​​0.1 hectares. Houses on courtyard estates were placed on the corner or in the center of the site, with </w:t>
      </w:r>
    </w:p>
    <w:p>
      <w:pPr>
        <w:spacing w:before="20" w:after="0"/>
      </w:pPr>
      <w:r>
        <w:rPr>
          <w:rFonts w:ascii="Arial" w:hAnsi="Arial" w:eastAsia="Arial"/>
          <w:b w:val="0"/>
          <w:color w:val="606667"/>
          <w:sz w:val="14"/>
        </w:rPr>
        <w:t>Source: https://bimap.su/description/pishpek/50_Dom_ugol_Iskak_Vas.txt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42.86931, 74.60370</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42.86931, 74.60370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