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42.83393, 74.63004</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Микрорайондор</w:t>
      </w:r>
    </w:p>
    <w:p>
      <w:pPr>
        <w:spacing w:after="100"/>
        <w:jc w:val="center"/>
      </w:pPr>
      <w:r>
        <w:rPr>
          <w:rFonts w:ascii="Arial" w:hAnsi="Arial" w:eastAsia="Arial"/>
          <w:b w:val="0"/>
          <w:color w:val="606667"/>
          <w:sz w:val="17"/>
        </w:rPr>
        <w:t>42.83393, 74.63004</w:t>
      </w:r>
    </w:p>
    <w:p>
      <w:pPr>
        <w:spacing w:before="0" w:after="20"/>
        <w:jc w:val="center"/>
      </w:pPr>
      <w:r>
        <w:drawing>
          <wp:inline xmlns:a="http://schemas.openxmlformats.org/drawingml/2006/main" xmlns:pic="http://schemas.openxmlformats.org/drawingml/2006/picture">
            <wp:extent cx="1848096" cy="2232000"/>
            <wp:docPr id="2" name="Picture 2" descr="Микрорайоны" title="Микрорайоны"/>
            <wp:cNvGraphicFramePr>
              <a:graphicFrameLocks noChangeAspect="1"/>
            </wp:cNvGraphicFramePr>
            <a:graphic>
              <a:graphicData uri="http://schemas.openxmlformats.org/drawingml/2006/picture">
                <pic:pic>
                  <pic:nvPicPr>
                    <pic:cNvPr id="0" name="b031ed29e41c7e35ebca.jpg"/>
                    <pic:cNvPicPr/>
                  </pic:nvPicPr>
                  <pic:blipFill>
                    <a:blip r:embed="rId13"/>
                    <a:stretch>
                      <a:fillRect/>
                    </a:stretch>
                  </pic:blipFill>
                  <pic:spPr>
                    <a:xfrm>
                      <a:off x="0" y="0"/>
                      <a:ext cx="1848096" cy="2232000"/>
                    </a:xfrm>
                    <a:prstGeom prst="rect"/>
                  </pic:spPr>
                </pic:pic>
              </a:graphicData>
            </a:graphic>
          </wp:inline>
        </w:drawing>
      </w:r>
    </w:p>
    <w:p>
      <w:pPr>
        <w:spacing w:after="60"/>
        <w:jc w:val="center"/>
      </w:pPr>
      <w:r>
        <w:rPr>
          <w:rFonts w:ascii="Arial" w:hAnsi="Arial" w:eastAsia="Arial"/>
          <w:b w:val="0"/>
          <w:color w:val="606667"/>
          <w:sz w:val="15"/>
        </w:rPr>
        <w:t>Микрорайоны</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Микрорайондор</w:t>
      </w:r>
    </w:p>
    <w:p>
      <w:pPr>
        <w:widowControl/>
        <w:spacing w:before="0" w:after="60" w:line="247" w:lineRule="auto"/>
      </w:pPr>
      <w:r>
        <w:rPr>
          <w:rFonts w:ascii="Arial" w:hAnsi="Arial" w:eastAsia="Arial"/>
          <w:b w:val="0"/>
          <w:color w:val="242C2F"/>
          <w:sz w:val="19"/>
        </w:rPr>
        <w:t>﻿ Микрорайондор Шаардын түштүк-чыгыш аймагындагы 5 жана 6-кичи райондордун курулушу. Микрорайондор 104 жана 105 сериядагы чоң панелдүү үйлөр менен курулган. Долбоордун авторлору архитекторлор Г. Оганесян, Г. Кутателадзе, В. Тычинский, И. Лихтеров жана башкалар. Түштүктөгү 10 кичирайондун башкы схемасын М.Муксинов менен Е.Писарский жасашкан.</w:t>
      </w:r>
    </w:p>
    <w:p>
      <w:pPr>
        <w:spacing w:before="20" w:after="0"/>
      </w:pPr>
      <w:r>
        <w:rPr>
          <w:rFonts w:ascii="Arial" w:hAnsi="Arial" w:eastAsia="Arial"/>
          <w:b w:val="0"/>
          <w:color w:val="606667"/>
          <w:sz w:val="14"/>
        </w:rPr>
        <w:t>Булак: https://bimap.su/description/frunze/291_Mikroraiony.txt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42.83393, 74.63004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