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42.83393, 74.63004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Microdistricts</w:t>
      </w:r>
    </w:p>
    <w:p>
      <w:pPr>
        <w:spacing w:after="100"/>
        <w:jc w:val="center"/>
      </w:pPr>
      <w:r>
        <w:rPr>
          <w:rFonts w:ascii="Arial" w:hAnsi="Arial" w:eastAsia="Arial"/>
          <w:b w:val="0"/>
          <w:color w:val="606667"/>
          <w:sz w:val="17"/>
        </w:rPr>
        <w:t>42.83393, 74.63004</w:t>
      </w:r>
    </w:p>
    <w:p>
      <w:pPr>
        <w:spacing w:before="0" w:after="20"/>
        <w:jc w:val="center"/>
      </w:pPr>
      <w:r>
        <w:drawing>
          <wp:inline xmlns:a="http://schemas.openxmlformats.org/drawingml/2006/main" xmlns:pic="http://schemas.openxmlformats.org/drawingml/2006/picture">
            <wp:extent cx="1848096" cy="2232000"/>
            <wp:docPr id="2" name="Picture 2" descr="Микрорайоны" title="Микрорайоны"/>
            <wp:cNvGraphicFramePr>
              <a:graphicFrameLocks noChangeAspect="1"/>
            </wp:cNvGraphicFramePr>
            <a:graphic>
              <a:graphicData uri="http://schemas.openxmlformats.org/drawingml/2006/picture">
                <pic:pic>
                  <pic:nvPicPr>
                    <pic:cNvPr id="0" name="b031ed29e41c7e35ebca.jpg"/>
                    <pic:cNvPicPr/>
                  </pic:nvPicPr>
                  <pic:blipFill>
                    <a:blip r:embed="rId13"/>
                    <a:stretch>
                      <a:fillRect/>
                    </a:stretch>
                  </pic:blipFill>
                  <pic:spPr>
                    <a:xfrm>
                      <a:off x="0" y="0"/>
                      <a:ext cx="1848096" cy="2232000"/>
                    </a:xfrm>
                    <a:prstGeom prst="rect"/>
                  </pic:spPr>
                </pic:pic>
              </a:graphicData>
            </a:graphic>
          </wp:inline>
        </w:drawing>
      </w:r>
    </w:p>
    <w:p>
      <w:pPr>
        <w:spacing w:after="60"/>
        <w:jc w:val="center"/>
      </w:pPr>
      <w:r>
        <w:rPr>
          <w:rFonts w:ascii="Arial" w:hAnsi="Arial" w:eastAsia="Arial"/>
          <w:b w:val="0"/>
          <w:color w:val="606667"/>
          <w:sz w:val="15"/>
        </w:rPr>
        <w:t>Микрорайоны</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Microdistricts</w:t>
      </w:r>
    </w:p>
    <w:p>
      <w:pPr>
        <w:widowControl/>
        <w:spacing w:before="0" w:after="60" w:line="247" w:lineRule="auto"/>
      </w:pPr>
      <w:r>
        <w:rPr>
          <w:rFonts w:ascii="Arial" w:hAnsi="Arial" w:eastAsia="Arial"/>
          <w:b w:val="0"/>
          <w:color w:val="242C2F"/>
          <w:sz w:val="19"/>
        </w:rPr>
        <w:t>﻿ Microdistricts Construction of the 5th and 6th microdistricts in the south-eastern region of the city. The microdistricts were built up with large-panel houses of series 104 and 105. The authors of the project are architects G. Oganesyan, G. Kutateladze, V. Tychinsky, I. Likhterov and others. The general layout of the 10 southern microdistricts was carried out by M. Muksinov and E. Pisarsky.</w:t>
      </w:r>
    </w:p>
    <w:p>
      <w:pPr>
        <w:spacing w:before="20" w:after="0"/>
      </w:pPr>
      <w:r>
        <w:rPr>
          <w:rFonts w:ascii="Arial" w:hAnsi="Arial" w:eastAsia="Arial"/>
          <w:b w:val="0"/>
          <w:color w:val="606667"/>
          <w:sz w:val="14"/>
        </w:rPr>
        <w:t>Source: https://bimap.su/description/frunze/291_Mikroraiony.txt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42.83393, 74.63004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