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42.80793, 74.58326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«Ысык-Көл» мейманканасы</w:t>
      </w:r>
    </w:p>
    <w:p>
      <w:pPr>
        <w:spacing w:after="100"/>
        <w:jc w:val="center"/>
      </w:pPr>
      <w:r>
        <w:rPr>
          <w:rFonts w:ascii="Arial" w:hAnsi="Arial" w:eastAsia="Arial"/>
          <w:b w:val="0"/>
          <w:color w:val="606667"/>
          <w:sz w:val="17"/>
        </w:rPr>
        <w:t>42.80793, 74.58326</w:t>
      </w:r>
    </w:p>
    <w:p>
      <w:pPr>
        <w:spacing w:before="0" w:after="20"/>
        <w:jc w:val="center"/>
      </w:pPr>
      <w:r>
        <w:drawing>
          <wp:inline xmlns:a="http://schemas.openxmlformats.org/drawingml/2006/main" xmlns:pic="http://schemas.openxmlformats.org/drawingml/2006/picture">
            <wp:extent cx="4464000" cy="2232000"/>
            <wp:docPr id="2" name="Picture 2" descr="Гостиница «Иссык-Куль»" title="Гостиница «Иссык-Куль»"/>
            <wp:cNvGraphicFramePr>
              <a:graphicFrameLocks noChangeAspect="1"/>
            </wp:cNvGraphicFramePr>
            <a:graphic>
              <a:graphicData uri="http://schemas.openxmlformats.org/drawingml/2006/picture">
                <pic:pic>
                  <pic:nvPicPr>
                    <pic:cNvPr id="0" name="522c9b94304d1135b420.jpg"/>
                    <pic:cNvPicPr/>
                  </pic:nvPicPr>
                  <pic:blipFill>
                    <a:blip r:embed="rId13"/>
                    <a:stretch>
                      <a:fillRect/>
                    </a:stretch>
                  </pic:blipFill>
                  <pic:spPr>
                    <a:xfrm>
                      <a:off x="0" y="0"/>
                      <a:ext cx="4464000" cy="2232000"/>
                    </a:xfrm>
                    <a:prstGeom prst="rect"/>
                  </pic:spPr>
                </pic:pic>
              </a:graphicData>
            </a:graphic>
          </wp:inline>
        </w:drawing>
      </w:r>
    </w:p>
    <w:p>
      <w:pPr>
        <w:spacing w:after="60"/>
        <w:jc w:val="center"/>
      </w:pPr>
      <w:r>
        <w:rPr>
          <w:rFonts w:ascii="Arial" w:hAnsi="Arial" w:eastAsia="Arial"/>
          <w:b w:val="0"/>
          <w:color w:val="606667"/>
          <w:sz w:val="15"/>
        </w:rPr>
        <w:t>Гостиница «Иссык-Куль»</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«Ысык-Көл» мейманканасы</w:t>
      </w:r>
    </w:p>
    <w:p>
      <w:pPr>
        <w:widowControl/>
        <w:spacing w:before="0" w:after="60" w:line="247" w:lineRule="auto"/>
      </w:pPr>
      <w:r>
        <w:rPr>
          <w:rFonts w:ascii="Arial" w:hAnsi="Arial" w:eastAsia="Arial"/>
          <w:b w:val="0"/>
          <w:color w:val="242C2F"/>
          <w:sz w:val="19"/>
        </w:rPr>
        <w:t>﻿ «Ысык-Көл» мейманканасы «Ысык-Көл» мейманканасы 1984-жылы курулган (архитекторлор К. Алыкулов, К. Ибраев, М. Керимкулов, дизайнерлер Г. Малий, С. Денисов, А. Мусатов). Имарат сегиз кабаттуу, каркасы кирпичтен салынган. Мейманкананын кире беришинин сол тарабында боз үй формасындагы куполдуу имарат бар - анда ресторан жана кафе жайгашкан. Мейманканада 230 орундуу 185 бөлмө, 200 орундуу конференц-зал бар. 1989-жылы бул жерде ЮНЕСКОнун колдоосу аст</w:t>
      </w:r>
    </w:p>
    <w:p>
      <w:pPr>
        <w:spacing w:before="20" w:after="0"/>
      </w:pPr>
      <w:r>
        <w:rPr>
          <w:rFonts w:ascii="Arial" w:hAnsi="Arial" w:eastAsia="Arial"/>
          <w:b w:val="0"/>
          <w:color w:val="606667"/>
          <w:sz w:val="14"/>
        </w:rPr>
        <w:t>Булак: https://bimap.su/description/frunze/284_Gostiniza.txt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42.80793, 74.58326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