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42.87027, 74.59145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with columns</w:t>
      </w:r>
    </w:p>
    <w:p>
      <w:pPr>
        <w:spacing w:after="100"/>
        <w:jc w:val="center"/>
      </w:pPr>
      <w:r>
        <w:rPr>
          <w:rFonts w:ascii="Arial" w:hAnsi="Arial" w:eastAsia="Arial"/>
          <w:b w:val="0"/>
          <w:color w:val="606667"/>
          <w:sz w:val="17"/>
        </w:rPr>
        <w:t>42.87027, 74.59145</w:t>
      </w:r>
    </w:p>
    <w:p>
      <w:pPr>
        <w:spacing w:before="0" w:after="20"/>
        <w:jc w:val="center"/>
      </w:pPr>
      <w:r>
        <w:drawing>
          <wp:inline xmlns:a="http://schemas.openxmlformats.org/drawingml/2006/main" xmlns:pic="http://schemas.openxmlformats.org/drawingml/2006/picture">
            <wp:extent cx="3412178" cy="2232000"/>
            <wp:docPr id="2" name="Picture 2" descr="Домик с колоннами" title="Домик с колоннами"/>
            <wp:cNvGraphicFramePr>
              <a:graphicFrameLocks noChangeAspect="1"/>
            </wp:cNvGraphicFramePr>
            <a:graphic>
              <a:graphicData uri="http://schemas.openxmlformats.org/drawingml/2006/picture">
                <pic:pic>
                  <pic:nvPicPr>
                    <pic:cNvPr id="0" name="da30de1db97b3d607a22.jpg"/>
                    <pic:cNvPicPr/>
                  </pic:nvPicPr>
                  <pic:blipFill>
                    <a:blip r:embed="rId13"/>
                    <a:stretch>
                      <a:fillRect/>
                    </a:stretch>
                  </pic:blipFill>
                  <pic:spPr>
                    <a:xfrm>
                      <a:off x="0" y="0"/>
                      <a:ext cx="3412178" cy="2232000"/>
                    </a:xfrm>
                    <a:prstGeom prst="rect"/>
                  </pic:spPr>
                </pic:pic>
              </a:graphicData>
            </a:graphic>
          </wp:inline>
        </w:drawing>
      </w:r>
    </w:p>
    <w:p>
      <w:pPr>
        <w:spacing w:after="60"/>
        <w:jc w:val="center"/>
      </w:pPr>
      <w:r>
        <w:rPr>
          <w:rFonts w:ascii="Arial" w:hAnsi="Arial" w:eastAsia="Arial"/>
          <w:b w:val="0"/>
          <w:color w:val="606667"/>
          <w:sz w:val="15"/>
        </w:rPr>
        <w:t>Домик с колоннами</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with columns</w:t>
      </w:r>
    </w:p>
    <w:p>
      <w:pPr>
        <w:widowControl/>
        <w:spacing w:before="0" w:after="60" w:line="247" w:lineRule="auto"/>
      </w:pPr>
      <w:r>
        <w:rPr>
          <w:rFonts w:ascii="Arial" w:hAnsi="Arial" w:eastAsia="Arial"/>
          <w:b w:val="0"/>
          <w:color w:val="242C2F"/>
          <w:sz w:val="19"/>
        </w:rPr>
        <w:t>﻿ House with columns on Moskovskaya Street It was built in the 40s as the Procurement Agency for Gold Prodsnab. Until 1957, it housed the offices of Sredmetaztsvetsvetravka and Sredazzolotorazvedka, united in 1957 under the flag of Mingeo and became part of the Geology Department of the Kirghiz SSR. The house was transferred to the housing stock.</w:t>
      </w:r>
    </w:p>
    <w:p>
      <w:pPr>
        <w:spacing w:before="20" w:after="0"/>
      </w:pPr>
      <w:r>
        <w:rPr>
          <w:rFonts w:ascii="Arial" w:hAnsi="Arial" w:eastAsia="Arial"/>
          <w:b w:val="0"/>
          <w:color w:val="606667"/>
          <w:sz w:val="14"/>
        </w:rPr>
        <w:t>Source: https://bimap.su/description/frunze/266_Sredazzoloto.txt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42.87027, 74.59145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