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Декорациянын фрагменти</w:t>
      </w:r>
    </w:p>
    <w:p>
      <w:pPr>
        <w:spacing w:after="100"/>
        <w:jc w:val="center"/>
      </w:pPr>
      <w:r>
        <w:rPr>
          <w:rFonts w:ascii="Arial" w:hAnsi="Arial" w:eastAsia="Arial"/>
          <w:b w:val="0"/>
          <w:color w:val="606667"/>
          <w:sz w:val="17"/>
        </w:rPr>
        <w:t>42.86714, 74.60509</w:t>
      </w:r>
    </w:p>
    <w:p>
      <w:pPr>
        <w:spacing w:before="0" w:after="20"/>
        <w:jc w:val="center"/>
      </w:pPr>
      <w:r>
        <w:drawing>
          <wp:inline xmlns:a="http://schemas.openxmlformats.org/drawingml/2006/main" xmlns:pic="http://schemas.openxmlformats.org/drawingml/2006/picture">
            <wp:extent cx="2972280" cy="2232000"/>
            <wp:docPr id="1" name="Picture 1" descr="Фрагмент декора" title="Фрагмент декора"/>
            <wp:cNvGraphicFramePr>
              <a:graphicFrameLocks noChangeAspect="1"/>
            </wp:cNvGraphicFramePr>
            <a:graphic>
              <a:graphicData uri="http://schemas.openxmlformats.org/drawingml/2006/picture">
                <pic:pic>
                  <pic:nvPicPr>
                    <pic:cNvPr id="0" name="6348ae72337ab819f0e5.jpg"/>
                    <pic:cNvPicPr/>
                  </pic:nvPicPr>
                  <pic:blipFill>
                    <a:blip r:embed="rId12"/>
                    <a:stretch>
                      <a:fillRect/>
                    </a:stretch>
                  </pic:blipFill>
                  <pic:spPr>
                    <a:xfrm>
                      <a:off x="0" y="0"/>
                      <a:ext cx="2972280" cy="2232000"/>
                    </a:xfrm>
                    <a:prstGeom prst="rect"/>
                  </pic:spPr>
                </pic:pic>
              </a:graphicData>
            </a:graphic>
          </wp:inline>
        </w:drawing>
      </w:r>
    </w:p>
    <w:p>
      <w:pPr>
        <w:spacing w:after="60"/>
        <w:jc w:val="center"/>
      </w:pPr>
      <w:r>
        <w:rPr>
          <w:rFonts w:ascii="Arial" w:hAnsi="Arial" w:eastAsia="Arial"/>
          <w:b w:val="0"/>
          <w:color w:val="606667"/>
          <w:sz w:val="15"/>
        </w:rPr>
        <w:t>Фрагмент декора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Декорациянын фрагменти</w:t>
      </w:r>
    </w:p>
    <w:p>
      <w:pPr>
        <w:widowControl/>
        <w:spacing w:before="0" w:after="60" w:line="247" w:lineRule="auto"/>
      </w:pPr>
      <w:r>
        <w:rPr>
          <w:rFonts w:ascii="Arial" w:hAnsi="Arial" w:eastAsia="Arial"/>
          <w:b w:val="0"/>
          <w:color w:val="242C2F"/>
          <w:sz w:val="19"/>
        </w:rPr>
        <w:t>﻿ 20-кылымдын башындагы үйдүн жасалгасынын фрагменти. Үйлөрдүн фасаддары оюлуп жасалган карниздер, пластинкалар, терезелерге жалюзи менен кооздолгон. Декоративдик элементтер, жекече кабыл алынган, күчтүү таасир калтырбайт. Алар бүт имараттын ансамблин карап, анда укмуштуудай роль ойнобостон, ошондой эле белгилүү бир функцияларды аткарышкан: алар үйдүн туруктуулугун бекемдеп, курулуш конструкцияларын жашырып, жаркыраган жарыктан, жаан-чачындан, ал</w:t>
      </w:r>
    </w:p>
    <w:p>
      <w:pPr>
        <w:spacing w:before="20" w:after="0"/>
      </w:pPr>
      <w:r>
        <w:rPr>
          <w:rFonts w:ascii="Arial" w:hAnsi="Arial" w:eastAsia="Arial"/>
          <w:b w:val="0"/>
          <w:color w:val="606667"/>
          <w:sz w:val="14"/>
        </w:rPr>
        <w:t>Булак: https://bimap.su/description/pishpek/43_Stavni.txt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42.86714, 74.60509</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42.86714, 74.60509</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