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Илья Терентьевдин дачасы</w:t>
      </w:r>
    </w:p>
    <w:p>
      <w:pPr>
        <w:spacing w:after="100"/>
        <w:jc w:val="center"/>
      </w:pPr>
      <w:r>
        <w:rPr>
          <w:rFonts w:ascii="Arial" w:hAnsi="Arial" w:eastAsia="Arial"/>
          <w:b w:val="0"/>
          <w:color w:val="606667"/>
          <w:sz w:val="17"/>
        </w:rPr>
        <w:t>42.88725, 74.61049</w:t>
      </w:r>
    </w:p>
    <w:p>
      <w:pPr>
        <w:spacing w:before="0" w:after="20"/>
        <w:jc w:val="center"/>
      </w:pPr>
      <w:r>
        <w:drawing>
          <wp:inline xmlns:a="http://schemas.openxmlformats.org/drawingml/2006/main" xmlns:pic="http://schemas.openxmlformats.org/drawingml/2006/picture">
            <wp:extent cx="3596310" cy="2232000"/>
            <wp:docPr id="1" name="Picture 1" descr="Дача Ильи Терентьева" title="Дача Ильи Терентьева"/>
            <wp:cNvGraphicFramePr>
              <a:graphicFrameLocks noChangeAspect="1"/>
            </wp:cNvGraphicFramePr>
            <a:graphic>
              <a:graphicData uri="http://schemas.openxmlformats.org/drawingml/2006/picture">
                <pic:pic>
                  <pic:nvPicPr>
                    <pic:cNvPr id="0" name="9e84e6b81cda8a7e0328.jpg"/>
                    <pic:cNvPicPr/>
                  </pic:nvPicPr>
                  <pic:blipFill>
                    <a:blip r:embed="rId12"/>
                    <a:stretch>
                      <a:fillRect/>
                    </a:stretch>
                  </pic:blipFill>
                  <pic:spPr>
                    <a:xfrm>
                      <a:off x="0" y="0"/>
                      <a:ext cx="3596310" cy="2232000"/>
                    </a:xfrm>
                    <a:prstGeom prst="rect"/>
                  </pic:spPr>
                </pic:pic>
              </a:graphicData>
            </a:graphic>
          </wp:inline>
        </w:drawing>
      </w:r>
    </w:p>
    <w:p>
      <w:pPr>
        <w:spacing w:after="60"/>
        <w:jc w:val="center"/>
      </w:pPr>
      <w:r>
        <w:rPr>
          <w:rFonts w:ascii="Arial" w:hAnsi="Arial" w:eastAsia="Arial"/>
          <w:b w:val="0"/>
          <w:color w:val="606667"/>
          <w:sz w:val="15"/>
        </w:rPr>
        <w:t>Дача Ильи Терентьева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Илья Терентьевдин дачасы</w:t>
      </w:r>
    </w:p>
    <w:p>
      <w:pPr>
        <w:widowControl/>
        <w:spacing w:before="0" w:after="60" w:line="247" w:lineRule="auto"/>
      </w:pPr>
      <w:r>
        <w:rPr>
          <w:rFonts w:ascii="Arial" w:hAnsi="Arial" w:eastAsia="Arial"/>
          <w:b w:val="0"/>
          <w:color w:val="242C2F"/>
          <w:sz w:val="19"/>
        </w:rPr>
        <w:t>﻿ Илья Терентьевдин дачасы, 1900-ж. Пишпек шаарындагы алгачкы эки кабаттуу үйлөрдүн бири, Терентьевдин дачасы деп аталган. Ошол жылдары шаардын түндүк чек арасы Ташкент шоссе жолу болгон. Шаардагы көптөгөн эки кабаттуу үйлөр сыяктуу эле, ал кесилген таштан тургузулган бийик таш пайдубалдын үстүндө турган, анын үстүндө кирпич жасалгасы менен кооздолгон биринчи кабаттын кирпич плинтусу болгон. Үстүнкү кабаттын дубалдары жыгач каркас. Үйдүн бир нече</w:t>
      </w:r>
    </w:p>
    <w:p>
      <w:pPr>
        <w:spacing w:before="20" w:after="0"/>
      </w:pPr>
      <w:r>
        <w:rPr>
          <w:rFonts w:ascii="Arial" w:hAnsi="Arial" w:eastAsia="Arial"/>
          <w:b w:val="0"/>
          <w:color w:val="606667"/>
          <w:sz w:val="14"/>
        </w:rPr>
        <w:t>Булак: https://bimap.su/description/pishpek/39_Dacha.txt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Илья Терентьевдин дачасы</w:t>
      </w:r>
    </w:p>
    <w:p>
      <w:pPr>
        <w:spacing w:after="100"/>
        <w:jc w:val="center"/>
      </w:pPr>
      <w:r>
        <w:rPr>
          <w:rFonts w:ascii="Arial" w:hAnsi="Arial" w:eastAsia="Arial"/>
          <w:b w:val="0"/>
          <w:color w:val="606667"/>
          <w:sz w:val="17"/>
        </w:rPr>
        <w:t>42.88725, 74.61049</w:t>
      </w:r>
    </w:p>
    <w:p>
      <w:pPr>
        <w:spacing w:before="0" w:after="20"/>
        <w:jc w:val="center"/>
      </w:pPr>
      <w:r>
        <w:drawing>
          <wp:inline xmlns:a="http://schemas.openxmlformats.org/drawingml/2006/main" xmlns:pic="http://schemas.openxmlformats.org/drawingml/2006/picture">
            <wp:extent cx="3313182" cy="2232000"/>
            <wp:docPr id="2" name="Picture 2" descr="Дача Ильи Терентьева" title="Дача Ильи Терентьева"/>
            <wp:cNvGraphicFramePr>
              <a:graphicFrameLocks noChangeAspect="1"/>
            </wp:cNvGraphicFramePr>
            <a:graphic>
              <a:graphicData uri="http://schemas.openxmlformats.org/drawingml/2006/picture">
                <pic:pic>
                  <pic:nvPicPr>
                    <pic:cNvPr id="0" name="d0390c5e46cfceb2c1ee.jpg"/>
                    <pic:cNvPicPr/>
                  </pic:nvPicPr>
                  <pic:blipFill>
                    <a:blip r:embed="rId13"/>
                    <a:stretch>
                      <a:fillRect/>
                    </a:stretch>
                  </pic:blipFill>
                  <pic:spPr>
                    <a:xfrm>
                      <a:off x="0" y="0"/>
                      <a:ext cx="3313182" cy="2232000"/>
                    </a:xfrm>
                    <a:prstGeom prst="rect"/>
                  </pic:spPr>
                </pic:pic>
              </a:graphicData>
            </a:graphic>
          </wp:inline>
        </w:drawing>
      </w:r>
    </w:p>
    <w:p>
      <w:pPr>
        <w:spacing w:after="60"/>
        <w:jc w:val="center"/>
      </w:pPr>
      <w:r>
        <w:rPr>
          <w:rFonts w:ascii="Arial" w:hAnsi="Arial" w:eastAsia="Arial"/>
          <w:b w:val="0"/>
          <w:color w:val="606667"/>
          <w:sz w:val="15"/>
        </w:rPr>
        <w:t>Дача Ильи Терентьева · Никиты Часова 2004г</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Илья Терентьевдин дачасы</w:t>
      </w:r>
    </w:p>
    <w:p>
      <w:pPr>
        <w:widowControl/>
        <w:spacing w:before="0" w:after="60" w:line="247" w:lineRule="auto"/>
      </w:pPr>
      <w:r>
        <w:rPr>
          <w:rFonts w:ascii="Arial" w:hAnsi="Arial" w:eastAsia="Arial"/>
          <w:b w:val="0"/>
          <w:color w:val="242C2F"/>
          <w:sz w:val="19"/>
        </w:rPr>
        <w:t xml:space="preserve">﻿ Илья Терентьевдин дачасы Илья Терентьевдин дачасы Пишпек шаарындагы алгачкы эки кабаттуу үйлөрдүн бири. Ошол жылдары шаардын түндүк чек арасы Ташкент шоссе (Жибек Жолу) болгон. Үй кесилген таштан тургузулган бийик таш пайдубалдын үстүндө туруптур, анын үстүндө кирпичтен жасалган оюм-чийим менен кооздолгон биринчи кабаттын кирпич плинтусу бар. Үстүнкү кабаттын дубалдары жыгач каркас болуп саналат. Үйдүн бир нече жашоо бөлмөсү жана конок бөлмөсү </w:t>
      </w:r>
    </w:p>
    <w:p>
      <w:pPr>
        <w:spacing w:before="20" w:after="0"/>
      </w:pPr>
      <w:r>
        <w:rPr>
          <w:rFonts w:ascii="Arial" w:hAnsi="Arial" w:eastAsia="Arial"/>
          <w:b w:val="0"/>
          <w:color w:val="606667"/>
          <w:sz w:val="14"/>
        </w:rPr>
        <w:t>Булак: https://bimap.su/description/frunze/272_Dacha_Terenteva.txt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42.88725, 74.61049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