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Men's parish school</w:t>
      </w:r>
    </w:p>
    <w:p>
      <w:pPr>
        <w:spacing w:after="100"/>
        <w:jc w:val="center"/>
      </w:pPr>
      <w:r>
        <w:rPr>
          <w:rFonts w:ascii="Arial" w:hAnsi="Arial" w:eastAsia="Arial"/>
          <w:b w:val="0"/>
          <w:color w:val="606667"/>
          <w:sz w:val="17"/>
        </w:rPr>
        <w:t>42.87096, 74.60691</w:t>
      </w:r>
    </w:p>
    <w:p>
      <w:pPr>
        <w:spacing w:before="0" w:after="20"/>
        <w:jc w:val="center"/>
      </w:pPr>
      <w:r>
        <w:drawing>
          <wp:inline xmlns:a="http://schemas.openxmlformats.org/drawingml/2006/main" xmlns:pic="http://schemas.openxmlformats.org/drawingml/2006/picture">
            <wp:extent cx="4165373" cy="2232000"/>
            <wp:docPr id="1" name="Picture 1" descr="Мужское приходское училище" title="Мужское приходское училище"/>
            <wp:cNvGraphicFramePr>
              <a:graphicFrameLocks noChangeAspect="1"/>
            </wp:cNvGraphicFramePr>
            <a:graphic>
              <a:graphicData uri="http://schemas.openxmlformats.org/drawingml/2006/picture">
                <pic:pic>
                  <pic:nvPicPr>
                    <pic:cNvPr id="0" name="3a5de09d9b8e743f99b4.jpg"/>
                    <pic:cNvPicPr/>
                  </pic:nvPicPr>
                  <pic:blipFill>
                    <a:blip r:embed="rId12"/>
                    <a:stretch>
                      <a:fillRect/>
                    </a:stretch>
                  </pic:blipFill>
                  <pic:spPr>
                    <a:xfrm>
                      <a:off x="0" y="0"/>
                      <a:ext cx="4165373" cy="2232000"/>
                    </a:xfrm>
                    <a:prstGeom prst="rect"/>
                  </pic:spPr>
                </pic:pic>
              </a:graphicData>
            </a:graphic>
          </wp:inline>
        </w:drawing>
      </w:r>
    </w:p>
    <w:p>
      <w:pPr>
        <w:spacing w:after="60"/>
        <w:jc w:val="center"/>
      </w:pPr>
      <w:r>
        <w:rPr>
          <w:rFonts w:ascii="Arial" w:hAnsi="Arial" w:eastAsia="Arial"/>
          <w:b w:val="0"/>
          <w:color w:val="606667"/>
          <w:sz w:val="15"/>
        </w:rPr>
        <w:t>Мужское приходское училище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Men's parish school</w:t>
      </w:r>
    </w:p>
    <w:p>
      <w:pPr>
        <w:widowControl/>
        <w:spacing w:before="0" w:after="60" w:line="247" w:lineRule="auto"/>
      </w:pPr>
      <w:r>
        <w:rPr>
          <w:rFonts w:ascii="Arial" w:hAnsi="Arial" w:eastAsia="Arial"/>
          <w:b w:val="0"/>
          <w:color w:val="242C2F"/>
          <w:sz w:val="19"/>
        </w:rPr>
        <w:t>﻿ Men's parish school on Boulevard 1915. Parish schools had the goal of preparing students for district schools, and they were also tasked with the physical and moral development of children. Subjects of study in parish schools: reading, writing, arithmetic, the Law of God, moral teaching, basic home economics. Financing of parish schools was carried out at the expense of the local population: in cities - at the expense of urban societies. Paroch</w:t>
      </w:r>
    </w:p>
    <w:p>
      <w:pPr>
        <w:spacing w:before="20" w:after="0"/>
      </w:pPr>
      <w:r>
        <w:rPr>
          <w:rFonts w:ascii="Arial" w:hAnsi="Arial" w:eastAsia="Arial"/>
          <w:b w:val="0"/>
          <w:color w:val="606667"/>
          <w:sz w:val="14"/>
        </w:rPr>
        <w:t>Source: https://bimap.su/description/pishpek/35_Prihodskoe_uchilische.txt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42.87096, 74.60691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42.87096, 74.60691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