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42.87489, 74.59252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School</w:t>
      </w:r>
    </w:p>
    <w:p>
      <w:pPr>
        <w:spacing w:after="100"/>
        <w:jc w:val="center"/>
      </w:pPr>
      <w:r>
        <w:rPr>
          <w:rFonts w:ascii="Arial" w:hAnsi="Arial" w:eastAsia="Arial"/>
          <w:b w:val="0"/>
          <w:color w:val="606667"/>
          <w:sz w:val="17"/>
        </w:rPr>
        <w:t>42.87489, 74.59252</w:t>
      </w:r>
    </w:p>
    <w:p>
      <w:pPr>
        <w:spacing w:before="0" w:after="20"/>
        <w:jc w:val="center"/>
      </w:pPr>
      <w:r>
        <w:drawing>
          <wp:inline xmlns:a="http://schemas.openxmlformats.org/drawingml/2006/main" xmlns:pic="http://schemas.openxmlformats.org/drawingml/2006/picture">
            <wp:extent cx="5600666" cy="2232000"/>
            <wp:docPr id="2" name="Picture 2" descr="Школа" title="Школа"/>
            <wp:cNvGraphicFramePr>
              <a:graphicFrameLocks noChangeAspect="1"/>
            </wp:cNvGraphicFramePr>
            <a:graphic>
              <a:graphicData uri="http://schemas.openxmlformats.org/drawingml/2006/picture">
                <pic:pic>
                  <pic:nvPicPr>
                    <pic:cNvPr id="0" name="6bba1e67ce040f16da35.jpg"/>
                    <pic:cNvPicPr/>
                  </pic:nvPicPr>
                  <pic:blipFill>
                    <a:blip r:embed="rId13"/>
                    <a:stretch>
                      <a:fillRect/>
                    </a:stretch>
                  </pic:blipFill>
                  <pic:spPr>
                    <a:xfrm>
                      <a:off x="0" y="0"/>
                      <a:ext cx="5600666" cy="2232000"/>
                    </a:xfrm>
                    <a:prstGeom prst="rect"/>
                  </pic:spPr>
                </pic:pic>
              </a:graphicData>
            </a:graphic>
          </wp:inline>
        </w:drawing>
      </w:r>
    </w:p>
    <w:p>
      <w:pPr>
        <w:spacing w:after="60"/>
        <w:jc w:val="center"/>
      </w:pPr>
      <w:r>
        <w:rPr>
          <w:rFonts w:ascii="Arial" w:hAnsi="Arial" w:eastAsia="Arial"/>
          <w:b w:val="0"/>
          <w:color w:val="606667"/>
          <w:sz w:val="15"/>
        </w:rPr>
        <w:t>Школа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School</w:t>
      </w:r>
    </w:p>
    <w:p>
      <w:pPr>
        <w:widowControl/>
        <w:spacing w:before="0" w:after="60" w:line="247" w:lineRule="auto"/>
      </w:pPr>
      <w:r>
        <w:rPr>
          <w:rFonts w:ascii="Arial" w:hAnsi="Arial" w:eastAsia="Arial"/>
          <w:b w:val="0"/>
          <w:color w:val="242C2F"/>
          <w:sz w:val="19"/>
        </w:rPr>
        <w:t>﻿ School. Photo by Vladimir Petrov, 2011. Aircraft-monument to military glory. Established in 1975. The first three-story school building in the city, built in the 40s. During the 2nd World War, the building of the former school No. 15 housed the 2nd battalion of the Frunze Infantry School. In the 60s, the Faculty of Law and the Military Department of KSU.</w:t>
      </w:r>
    </w:p>
    <w:p>
      <w:pPr>
        <w:spacing w:before="20" w:after="0"/>
      </w:pPr>
      <w:r>
        <w:rPr>
          <w:rFonts w:ascii="Arial" w:hAnsi="Arial" w:eastAsia="Arial"/>
          <w:b w:val="0"/>
          <w:color w:val="606667"/>
          <w:sz w:val="14"/>
        </w:rPr>
        <w:t>Source: https://bimap.su/description/frunze/129_Shkola15.txt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42.87489, 74.59252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