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42.86817, 74.59831</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Стоматологиялык мектеп</w:t>
      </w:r>
    </w:p>
    <w:p>
      <w:pPr>
        <w:spacing w:after="100"/>
        <w:jc w:val="center"/>
      </w:pPr>
      <w:r>
        <w:rPr>
          <w:rFonts w:ascii="Arial" w:hAnsi="Arial" w:eastAsia="Arial"/>
          <w:b w:val="0"/>
          <w:color w:val="606667"/>
          <w:sz w:val="17"/>
        </w:rPr>
        <w:t>42.86817, 74.59831</w:t>
      </w:r>
    </w:p>
    <w:p>
      <w:pPr>
        <w:spacing w:before="0" w:after="20"/>
        <w:jc w:val="center"/>
      </w:pPr>
      <w:r>
        <w:drawing>
          <wp:inline xmlns:a="http://schemas.openxmlformats.org/drawingml/2006/main" xmlns:pic="http://schemas.openxmlformats.org/drawingml/2006/picture">
            <wp:extent cx="3229560" cy="2232000"/>
            <wp:docPr id="2" name="Picture 2" descr="Зубоврачебная школа" title="Зубоврачебная школа"/>
            <wp:cNvGraphicFramePr>
              <a:graphicFrameLocks noChangeAspect="1"/>
            </wp:cNvGraphicFramePr>
            <a:graphic>
              <a:graphicData uri="http://schemas.openxmlformats.org/drawingml/2006/picture">
                <pic:pic>
                  <pic:nvPicPr>
                    <pic:cNvPr id="0" name="5fac3a3e19c5c5f453a6.jpg"/>
                    <pic:cNvPicPr/>
                  </pic:nvPicPr>
                  <pic:blipFill>
                    <a:blip r:embed="rId13"/>
                    <a:stretch>
                      <a:fillRect/>
                    </a:stretch>
                  </pic:blipFill>
                  <pic:spPr>
                    <a:xfrm>
                      <a:off x="0" y="0"/>
                      <a:ext cx="3229560" cy="2232000"/>
                    </a:xfrm>
                    <a:prstGeom prst="rect"/>
                  </pic:spPr>
                </pic:pic>
              </a:graphicData>
            </a:graphic>
          </wp:inline>
        </w:drawing>
      </w:r>
    </w:p>
    <w:p>
      <w:pPr>
        <w:spacing w:after="60"/>
        <w:jc w:val="center"/>
      </w:pPr>
      <w:r>
        <w:rPr>
          <w:rFonts w:ascii="Arial" w:hAnsi="Arial" w:eastAsia="Arial"/>
          <w:b w:val="0"/>
          <w:color w:val="606667"/>
          <w:sz w:val="15"/>
        </w:rPr>
        <w:t>Зубоврачебная школа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Стоматологиялык мектеп</w:t>
      </w:r>
    </w:p>
    <w:p>
      <w:pPr>
        <w:widowControl/>
        <w:spacing w:before="0" w:after="60" w:line="247" w:lineRule="auto"/>
      </w:pPr>
      <w:r>
        <w:rPr>
          <w:rFonts w:ascii="Arial" w:hAnsi="Arial" w:eastAsia="Arial"/>
          <w:b w:val="0"/>
          <w:color w:val="242C2F"/>
          <w:sz w:val="19"/>
        </w:rPr>
        <w:t>﻿ Стоматологиялык мектеп. Архитектор Г.Х.Сахакян, 1940-ж. Согуш маалында Москвадан эвакуацияланган СССР Илимдер академиясынын Биохимия жана өсүмдүктөрдүн физиологиясы институту А.Н. Бах жана В.А. Энгельхард, согуш мезгилинде ушул имаратта иштеген. Имараттын фасадында медицина институтунун патологиялык анатомия кафедрасынын негиздөөчүсү, профессор Борис Федорович Малышевдин мемориалдык тактасы орнотулган.</w:t>
      </w:r>
    </w:p>
    <w:p>
      <w:pPr>
        <w:spacing w:before="20" w:after="0"/>
      </w:pPr>
      <w:r>
        <w:rPr>
          <w:rFonts w:ascii="Arial" w:hAnsi="Arial" w:eastAsia="Arial"/>
          <w:b w:val="0"/>
          <w:color w:val="606667"/>
          <w:sz w:val="14"/>
        </w:rPr>
        <w:t>Булак: https://bimap.su/description/frunze/118_Zubovrachebnaia_shkola.txt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42.86817, 74.59831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