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42.87678, 74.60904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ChuTrest building</w:t>
      </w:r>
    </w:p>
    <w:p>
      <w:pPr>
        <w:spacing w:after="100"/>
        <w:jc w:val="center"/>
      </w:pPr>
      <w:r>
        <w:rPr>
          <w:rFonts w:ascii="Arial" w:hAnsi="Arial" w:eastAsia="Arial"/>
          <w:b w:val="0"/>
          <w:color w:val="606667"/>
          <w:sz w:val="17"/>
        </w:rPr>
        <w:t>42.87678, 74.60904</w:t>
      </w:r>
    </w:p>
    <w:p>
      <w:pPr>
        <w:spacing w:before="0" w:after="20"/>
        <w:jc w:val="center"/>
      </w:pPr>
      <w:r>
        <w:drawing>
          <wp:inline xmlns:a="http://schemas.openxmlformats.org/drawingml/2006/main" xmlns:pic="http://schemas.openxmlformats.org/drawingml/2006/picture">
            <wp:extent cx="1562400" cy="2232000"/>
            <wp:docPr id="2" name="Picture 2" descr="Здание «ЧуТреста»" title="Здание «ЧуТреста»"/>
            <wp:cNvGraphicFramePr>
              <a:graphicFrameLocks noChangeAspect="1"/>
            </wp:cNvGraphicFramePr>
            <a:graphic>
              <a:graphicData uri="http://schemas.openxmlformats.org/drawingml/2006/picture">
                <pic:pic>
                  <pic:nvPicPr>
                    <pic:cNvPr id="0" name="74d1cc981c3ea801a936.jpg"/>
                    <pic:cNvPicPr/>
                  </pic:nvPicPr>
                  <pic:blipFill>
                    <a:blip r:embed="rId13"/>
                    <a:stretch>
                      <a:fillRect/>
                    </a:stretch>
                  </pic:blipFill>
                  <pic:spPr>
                    <a:xfrm>
                      <a:off x="0" y="0"/>
                      <a:ext cx="1562400" cy="2232000"/>
                    </a:xfrm>
                    <a:prstGeom prst="rect"/>
                  </pic:spPr>
                </pic:pic>
              </a:graphicData>
            </a:graphic>
          </wp:inline>
        </w:drawing>
      </w:r>
    </w:p>
    <w:p>
      <w:pPr>
        <w:spacing w:after="60"/>
        <w:jc w:val="center"/>
      </w:pPr>
      <w:r>
        <w:rPr>
          <w:rFonts w:ascii="Arial" w:hAnsi="Arial" w:eastAsia="Arial"/>
          <w:b w:val="0"/>
          <w:color w:val="606667"/>
          <w:sz w:val="15"/>
        </w:rPr>
        <w:t>Здание «ЧуТреста»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ChuTrest building</w:t>
      </w:r>
    </w:p>
    <w:p>
      <w:pPr>
        <w:widowControl/>
        <w:spacing w:before="0" w:after="60" w:line="247" w:lineRule="auto"/>
      </w:pPr>
      <w:r>
        <w:rPr>
          <w:rFonts w:ascii="Arial" w:hAnsi="Arial" w:eastAsia="Arial"/>
          <w:b w:val="0"/>
          <w:color w:val="242C2F"/>
          <w:sz w:val="19"/>
        </w:rPr>
        <w:t>﻿ ChuTrust building Chustroy building (architect P. Goncharov, 1932). During the Great Patriotic War, the Krichev Rifle Division was formed in it, which fought from Moscow to the banks of the Elbe in Germany. For many years, the editorial offices of the newspapers “Soviet Kyrgyzstan” and “Kyzyl Kyrgyzstan” worked here, and then the republican society “Knowledge”.</w:t>
      </w:r>
    </w:p>
    <w:p>
      <w:pPr>
        <w:spacing w:before="20" w:after="0"/>
      </w:pPr>
      <w:r>
        <w:rPr>
          <w:rFonts w:ascii="Arial" w:hAnsi="Arial" w:eastAsia="Arial"/>
          <w:b w:val="0"/>
          <w:color w:val="606667"/>
          <w:sz w:val="14"/>
        </w:rPr>
        <w:t>Source: https://bimap.su/description/frunze/116_Cnutrest.txt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42.87678, 74.60904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