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42.82913, 74.60733</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Southern Gate</w:t>
      </w:r>
    </w:p>
    <w:p>
      <w:pPr>
        <w:spacing w:after="100"/>
        <w:jc w:val="center"/>
      </w:pPr>
      <w:r>
        <w:rPr>
          <w:rFonts w:ascii="Arial" w:hAnsi="Arial" w:eastAsia="Arial"/>
          <w:b w:val="0"/>
          <w:color w:val="606667"/>
          <w:sz w:val="17"/>
        </w:rPr>
        <w:t>42.82913, 74.60733</w:t>
      </w:r>
    </w:p>
    <w:p>
      <w:pPr>
        <w:spacing w:before="0" w:after="20"/>
        <w:jc w:val="center"/>
      </w:pPr>
      <w:r>
        <w:drawing>
          <wp:inline xmlns:a="http://schemas.openxmlformats.org/drawingml/2006/main" xmlns:pic="http://schemas.openxmlformats.org/drawingml/2006/picture">
            <wp:extent cx="3367988" cy="2231999"/>
            <wp:docPr id="2" name="Picture 2" descr="Южные ворота" title="Южные ворота"/>
            <wp:cNvGraphicFramePr>
              <a:graphicFrameLocks noChangeAspect="1"/>
            </wp:cNvGraphicFramePr>
            <a:graphic>
              <a:graphicData uri="http://schemas.openxmlformats.org/drawingml/2006/picture">
                <pic:pic>
                  <pic:nvPicPr>
                    <pic:cNvPr id="0" name="82ee2f8f5101a84d731c.jpg"/>
                    <pic:cNvPicPr/>
                  </pic:nvPicPr>
                  <pic:blipFill>
                    <a:blip r:embed="rId13"/>
                    <a:stretch>
                      <a:fillRect/>
                    </a:stretch>
                  </pic:blipFill>
                  <pic:spPr>
                    <a:xfrm>
                      <a:off x="0" y="0"/>
                      <a:ext cx="3367988" cy="2231999"/>
                    </a:xfrm>
                    <a:prstGeom prst="rect"/>
                  </pic:spPr>
                </pic:pic>
              </a:graphicData>
            </a:graphic>
          </wp:inline>
        </w:drawing>
      </w:r>
    </w:p>
    <w:p>
      <w:pPr>
        <w:spacing w:after="60"/>
        <w:jc w:val="center"/>
      </w:pPr>
      <w:r>
        <w:rPr>
          <w:rFonts w:ascii="Arial" w:hAnsi="Arial" w:eastAsia="Arial"/>
          <w:b w:val="0"/>
          <w:color w:val="606667"/>
          <w:sz w:val="15"/>
        </w:rPr>
        <w:t>Южные ворота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Southern Gate</w:t>
      </w:r>
    </w:p>
    <w:p>
      <w:pPr>
        <w:widowControl/>
        <w:spacing w:before="0" w:after="60" w:line="247" w:lineRule="auto"/>
      </w:pPr>
      <w:r>
        <w:rPr>
          <w:rFonts w:ascii="Arial" w:hAnsi="Arial" w:eastAsia="Arial"/>
          <w:b w:val="0"/>
          <w:color w:val="242C2F"/>
          <w:sz w:val="19"/>
        </w:rPr>
        <w:t xml:space="preserve">﻿ Southern Gate The architectural ensemble that completes the 8th and 10th microdistricts of the city. Architects R. Mukhamadiev, V. Kuznetsov, A. Soltobaev, Yu. Tagirov, 1978 The buildings seem to open the entrance to the city from the mountains. On the ground floors there are shops and cafes, on the roof there are artists' workshops. The facades of the buildings are decorated with mosaic panels “One Hundred Years of the City”, works by artists </w:t>
      </w:r>
    </w:p>
    <w:p>
      <w:pPr>
        <w:spacing w:before="20" w:after="0"/>
      </w:pPr>
      <w:r>
        <w:rPr>
          <w:rFonts w:ascii="Arial" w:hAnsi="Arial" w:eastAsia="Arial"/>
          <w:b w:val="0"/>
          <w:color w:val="606667"/>
          <w:sz w:val="14"/>
        </w:rPr>
        <w:t>Source: https://bimap.su/description/frunze/108_Ujnye_vorota.txt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42.82913, 74.60733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