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City government</w:t>
      </w:r>
    </w:p>
    <w:p>
      <w:pPr>
        <w:spacing w:after="100"/>
        <w:jc w:val="center"/>
      </w:pPr>
      <w:r>
        <w:rPr>
          <w:rFonts w:ascii="Arial" w:hAnsi="Arial" w:eastAsia="Arial"/>
          <w:b w:val="0"/>
          <w:color w:val="606667"/>
          <w:sz w:val="17"/>
        </w:rPr>
        <w:t>42.87956, 74.60621</w:t>
      </w:r>
    </w:p>
    <w:p>
      <w:pPr>
        <w:spacing w:before="0" w:after="20"/>
        <w:jc w:val="center"/>
      </w:pPr>
      <w:r>
        <w:drawing>
          <wp:inline xmlns:a="http://schemas.openxmlformats.org/drawingml/2006/main" xmlns:pic="http://schemas.openxmlformats.org/drawingml/2006/picture">
            <wp:extent cx="3311608" cy="2232000"/>
            <wp:docPr id="1" name="Picture 1" descr="Городская управа" title="Городская управа"/>
            <wp:cNvGraphicFramePr>
              <a:graphicFrameLocks noChangeAspect="1"/>
            </wp:cNvGraphicFramePr>
            <a:graphic>
              <a:graphicData uri="http://schemas.openxmlformats.org/drawingml/2006/picture">
                <pic:pic>
                  <pic:nvPicPr>
                    <pic:cNvPr id="0" name="d45ef1c28a020e9f0722.jpg"/>
                    <pic:cNvPicPr/>
                  </pic:nvPicPr>
                  <pic:blipFill>
                    <a:blip r:embed="rId12"/>
                    <a:stretch>
                      <a:fillRect/>
                    </a:stretch>
                  </pic:blipFill>
                  <pic:spPr>
                    <a:xfrm>
                      <a:off x="0" y="0"/>
                      <a:ext cx="3311608" cy="2232000"/>
                    </a:xfrm>
                    <a:prstGeom prst="rect"/>
                  </pic:spPr>
                </pic:pic>
              </a:graphicData>
            </a:graphic>
          </wp:inline>
        </w:drawing>
      </w:r>
    </w:p>
    <w:p>
      <w:pPr>
        <w:spacing w:after="60"/>
        <w:jc w:val="center"/>
      </w:pPr>
      <w:r>
        <w:rPr>
          <w:rFonts w:ascii="Arial" w:hAnsi="Arial" w:eastAsia="Arial"/>
          <w:b w:val="0"/>
          <w:color w:val="606667"/>
          <w:sz w:val="15"/>
        </w:rPr>
        <w:t>Городская управа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City government</w:t>
      </w:r>
    </w:p>
    <w:p>
      <w:pPr>
        <w:widowControl/>
        <w:spacing w:before="0" w:after="60" w:line="247" w:lineRule="auto"/>
      </w:pPr>
      <w:r>
        <w:rPr>
          <w:rFonts w:ascii="Arial" w:hAnsi="Arial" w:eastAsia="Arial"/>
          <w:b w:val="0"/>
          <w:color w:val="242C2F"/>
          <w:sz w:val="19"/>
        </w:rPr>
        <w:t>﻿ City government on the northwestern corner of Uezdnaya and Boulevard streets in the house of Ilya Terentyev, built in 1907. Initially, no special administrative buildings were built in the city. The administration rented houses from wealthy townspeople, who not only maintained the premises, but also held high positions in them. The first city mayor was Nikanor Titovich Rybyanov, and from 1890 - Ivan Panteleevich Sapozhnikov. They said that he g</w:t>
      </w:r>
    </w:p>
    <w:p>
      <w:pPr>
        <w:spacing w:before="20" w:after="0"/>
      </w:pPr>
      <w:r>
        <w:rPr>
          <w:rFonts w:ascii="Arial" w:hAnsi="Arial" w:eastAsia="Arial"/>
          <w:b w:val="0"/>
          <w:color w:val="606667"/>
          <w:sz w:val="14"/>
        </w:rPr>
        <w:t>Source: https://bimap.su/description/pishpek/31_Uprava_goroda.txt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42.87956, 74.60621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42.87956, 74.60621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