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42.80450, 74.58112</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VDNKh, Main Pavilion</w:t>
      </w:r>
    </w:p>
    <w:p>
      <w:pPr>
        <w:spacing w:after="100"/>
        <w:jc w:val="center"/>
      </w:pPr>
      <w:r>
        <w:rPr>
          <w:rFonts w:ascii="Arial" w:hAnsi="Arial" w:eastAsia="Arial"/>
          <w:b w:val="0"/>
          <w:color w:val="606667"/>
          <w:sz w:val="17"/>
        </w:rPr>
        <w:t>42.80450, 74.58112</w:t>
      </w:r>
    </w:p>
    <w:p>
      <w:pPr>
        <w:spacing w:before="0" w:after="20"/>
        <w:jc w:val="center"/>
      </w:pPr>
      <w:r/>
      <w:r>
        <w:drawing>
          <wp:inline xmlns:a="http://schemas.openxmlformats.org/drawingml/2006/main" xmlns:pic="http://schemas.openxmlformats.org/drawingml/2006/picture">
            <wp:extent cx="3089023" cy="2232000"/>
            <wp:docPr id="2" name="Picture 2" descr="ВДНХ, Главный павильон" title="ВДНХ, Главный павильон"/>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3089023" cy="2232000"/>
                    </a:xfrm>
                    <a:prstGeom prst="rect"/>
                  </pic:spPr>
                </pic:pic>
              </a:graphicData>
            </a:graphic>
          </wp:inline>
        </w:drawing>
      </w:r>
    </w:p>
    <w:p>
      <w:pPr>
        <w:spacing w:after="60"/>
        <w:jc w:val="center"/>
      </w:pPr>
      <w:r>
        <w:rPr>
          <w:rFonts w:ascii="Arial" w:hAnsi="Arial" w:eastAsia="Arial"/>
          <w:b w:val="0"/>
          <w:color w:val="606667"/>
          <w:sz w:val="15"/>
        </w:rPr>
        <w:t>ВДНХ, Главный павильон · Шерстенникова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VDNKh, Main Pavilion</w:t>
      </w:r>
    </w:p>
    <w:p>
      <w:pPr>
        <w:widowControl/>
        <w:spacing w:before="0" w:after="60" w:line="247" w:lineRule="auto"/>
      </w:pPr>
      <w:r>
        <w:rPr>
          <w:rFonts w:ascii="Arial" w:hAnsi="Arial" w:eastAsia="Arial"/>
          <w:b w:val="0"/>
          <w:color w:val="242C2F"/>
          <w:sz w:val="19"/>
        </w:rPr>
        <w:t>﻿ VDNH, Main Pavilion. Photo by Sherstennikov, 1984 VDNH of the Kirghiz SSR dates back to 1947 as the Kyrgyz Republican Agricultural Exhibition. The total area of ​​the Exhibition is 110 hectares, of which 32 hectares are the main area, 21 hectares are occupied by grapes and fruit trees, 16 hectares are occupied by various plants. Almost all types of flora in Kyrgyzstan are concentrated here, more than 15 varieties of fruit trees, 20 types of flo</w:t>
      </w:r>
    </w:p>
    <w:p>
      <w:pPr>
        <w:spacing w:before="20" w:after="0"/>
      </w:pPr>
      <w:r>
        <w:rPr>
          <w:rFonts w:ascii="Arial" w:hAnsi="Arial" w:eastAsia="Arial"/>
          <w:b w:val="0"/>
          <w:color w:val="606667"/>
          <w:sz w:val="14"/>
        </w:rPr>
        <w:t>Source: https://bimap.su/description/frunze/80_VDNX1.txt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42.80450, 74.58112</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