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42.87969, 74.60398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with columns</w:t>
      </w:r>
    </w:p>
    <w:p>
      <w:pPr>
        <w:spacing w:after="100"/>
        <w:jc w:val="center"/>
      </w:pPr>
      <w:r>
        <w:rPr>
          <w:rFonts w:ascii="Arial" w:hAnsi="Arial" w:eastAsia="Arial"/>
          <w:b w:val="0"/>
          <w:color w:val="606667"/>
          <w:sz w:val="17"/>
        </w:rPr>
        <w:t>42.87969, 74.60398</w:t>
      </w:r>
    </w:p>
    <w:p>
      <w:pPr>
        <w:spacing w:before="0" w:after="20"/>
        <w:jc w:val="center"/>
      </w:pPr>
      <w:r>
        <w:drawing>
          <wp:inline xmlns:a="http://schemas.openxmlformats.org/drawingml/2006/main" xmlns:pic="http://schemas.openxmlformats.org/drawingml/2006/picture">
            <wp:extent cx="3262939" cy="2232000"/>
            <wp:docPr id="2" name="Picture 2" descr="Дом с колоннами" title="Дом с колоннами"/>
            <wp:cNvGraphicFramePr>
              <a:graphicFrameLocks noChangeAspect="1"/>
            </wp:cNvGraphicFramePr>
            <a:graphic>
              <a:graphicData uri="http://schemas.openxmlformats.org/drawingml/2006/picture">
                <pic:pic>
                  <pic:nvPicPr>
                    <pic:cNvPr id="0" name="f864a5414325180dccdc.jpg"/>
                    <pic:cNvPicPr/>
                  </pic:nvPicPr>
                  <pic:blipFill>
                    <a:blip r:embed="rId13"/>
                    <a:stretch>
                      <a:fillRect/>
                    </a:stretch>
                  </pic:blipFill>
                  <pic:spPr>
                    <a:xfrm>
                      <a:off x="0" y="0"/>
                      <a:ext cx="3262939" cy="2232000"/>
                    </a:xfrm>
                    <a:prstGeom prst="rect"/>
                  </pic:spPr>
                </pic:pic>
              </a:graphicData>
            </a:graphic>
          </wp:inline>
        </w:drawing>
      </w:r>
    </w:p>
    <w:p>
      <w:pPr>
        <w:spacing w:after="60"/>
        <w:jc w:val="center"/>
      </w:pPr>
      <w:r>
        <w:rPr>
          <w:rFonts w:ascii="Arial" w:hAnsi="Arial" w:eastAsia="Arial"/>
          <w:b w:val="0"/>
          <w:color w:val="606667"/>
          <w:sz w:val="15"/>
        </w:rPr>
        <w:t>Дом с колоннами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with columns</w:t>
      </w:r>
    </w:p>
    <w:p>
      <w:pPr>
        <w:widowControl/>
        <w:spacing w:before="0" w:after="60" w:line="247" w:lineRule="auto"/>
      </w:pPr>
      <w:r>
        <w:rPr>
          <w:rFonts w:ascii="Arial" w:hAnsi="Arial" w:eastAsia="Arial"/>
          <w:b w:val="0"/>
          <w:color w:val="242C2F"/>
          <w:sz w:val="19"/>
        </w:rPr>
        <w:t xml:space="preserve">﻿ House with columns. Photo from the album Kyrgyzstan, 1985. In 1956, on the Central Square next to the Government House, the construction of the monumental building of the Republican Party School was completed (architects A.M. Albansky, R.I. Semerdzhiev, G. Nazaryan). In 1966, after a significant reconstruction and expansion of the building, it housed the Central Committee of the Communist Party of Kyrgyzstan and the Council of Ministers of the </w:t>
      </w:r>
    </w:p>
    <w:p>
      <w:pPr>
        <w:spacing w:before="20" w:after="0"/>
      </w:pPr>
      <w:r>
        <w:rPr>
          <w:rFonts w:ascii="Arial" w:hAnsi="Arial" w:eastAsia="Arial"/>
          <w:b w:val="0"/>
          <w:color w:val="606667"/>
          <w:sz w:val="14"/>
        </w:rPr>
        <w:t>Source: https://bimap.su/description/frunze/53_Dom_s_kollonami.txt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42.87969, 74.60398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