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Элдик жыйындар үйү</w:t>
      </w:r>
    </w:p>
    <w:p>
      <w:pPr>
        <w:spacing w:after="100"/>
        <w:jc w:val="center"/>
      </w:pPr>
      <w:r>
        <w:rPr>
          <w:rFonts w:ascii="Arial" w:hAnsi="Arial" w:eastAsia="Arial"/>
          <w:b w:val="0"/>
          <w:color w:val="606667"/>
          <w:sz w:val="17"/>
        </w:rPr>
        <w:t>42.88317, 74.61200</w:t>
      </w:r>
    </w:p>
    <w:p>
      <w:pPr>
        <w:spacing w:before="0" w:after="20"/>
        <w:jc w:val="center"/>
      </w:pPr>
      <w:r>
        <w:drawing>
          <wp:inline xmlns:a="http://schemas.openxmlformats.org/drawingml/2006/main" xmlns:pic="http://schemas.openxmlformats.org/drawingml/2006/picture">
            <wp:extent cx="3016737" cy="2232000"/>
            <wp:docPr id="1" name="Picture 1" descr="Дом общественного собрания" title="Дом общественного собрания"/>
            <wp:cNvGraphicFramePr>
              <a:graphicFrameLocks noChangeAspect="1"/>
            </wp:cNvGraphicFramePr>
            <a:graphic>
              <a:graphicData uri="http://schemas.openxmlformats.org/drawingml/2006/picture">
                <pic:pic>
                  <pic:nvPicPr>
                    <pic:cNvPr id="0" name="0dfdf0019ea35800e488.jpg"/>
                    <pic:cNvPicPr/>
                  </pic:nvPicPr>
                  <pic:blipFill>
                    <a:blip r:embed="rId12"/>
                    <a:stretch>
                      <a:fillRect/>
                    </a:stretch>
                  </pic:blipFill>
                  <pic:spPr>
                    <a:xfrm>
                      <a:off x="0" y="0"/>
                      <a:ext cx="3016737" cy="2232000"/>
                    </a:xfrm>
                    <a:prstGeom prst="rect"/>
                  </pic:spPr>
                </pic:pic>
              </a:graphicData>
            </a:graphic>
          </wp:inline>
        </w:drawing>
      </w:r>
    </w:p>
    <w:p>
      <w:pPr>
        <w:spacing w:after="60"/>
        <w:jc w:val="center"/>
      </w:pPr>
      <w:r>
        <w:rPr>
          <w:rFonts w:ascii="Arial" w:hAnsi="Arial" w:eastAsia="Arial"/>
          <w:b w:val="0"/>
          <w:color w:val="606667"/>
          <w:sz w:val="15"/>
        </w:rPr>
        <w:t>Дом общественного собрания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Элдик жыйындар үйү</w:t>
      </w:r>
    </w:p>
    <w:p>
      <w:pPr>
        <w:widowControl/>
        <w:spacing w:before="0" w:after="60" w:line="247" w:lineRule="auto"/>
      </w:pPr>
      <w:r>
        <w:rPr>
          <w:rFonts w:ascii="Arial" w:hAnsi="Arial" w:eastAsia="Arial"/>
          <w:b w:val="0"/>
          <w:color w:val="242C2F"/>
          <w:sz w:val="19"/>
        </w:rPr>
        <w:t>﻿ Базарная көчөсүндөгү Элдик жыйындар үйү Толугу менен шыбакталган бир кабаттуу кирпичтен жасалган чоң үй. Жылмакай дубалдын фасадындагы жөнөкөй терезе тешиктери түз кумдуктар менен толукталат. Үйдө кенен бөлмөлөр бар болчу. Анда коомдук чогулуш чогулган. 1917-жылдагы революциядан кийин анда жумушчу, солдат жана дыйкан депутаттарынын Пишпек уезддик Советинин аткаруу комитети жайгашкан.</w:t>
      </w:r>
    </w:p>
    <w:p>
      <w:pPr>
        <w:spacing w:before="20" w:after="0"/>
      </w:pPr>
      <w:r>
        <w:rPr>
          <w:rFonts w:ascii="Arial" w:hAnsi="Arial" w:eastAsia="Arial"/>
          <w:b w:val="0"/>
          <w:color w:val="606667"/>
          <w:sz w:val="14"/>
        </w:rPr>
        <w:t>Булак: https://bimap.su/description/pishpek/192_Sobranie.txt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42.88317, 74.61200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42.88317, 74.61200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