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Суу тегирмени</w:t>
      </w:r>
    </w:p>
    <w:p>
      <w:pPr>
        <w:spacing w:after="100"/>
        <w:jc w:val="center"/>
      </w:pPr>
      <w:r>
        <w:rPr>
          <w:rFonts w:ascii="Arial" w:hAnsi="Arial" w:eastAsia="Arial"/>
          <w:b w:val="0"/>
          <w:color w:val="606667"/>
          <w:sz w:val="17"/>
        </w:rPr>
        <w:t>42.90313, 74.62255</w:t>
      </w:r>
    </w:p>
    <w:p>
      <w:pPr>
        <w:spacing w:before="0" w:after="20"/>
        <w:jc w:val="center"/>
      </w:pPr>
      <w:r>
        <w:drawing>
          <wp:inline xmlns:a="http://schemas.openxmlformats.org/drawingml/2006/main" xmlns:pic="http://schemas.openxmlformats.org/drawingml/2006/picture">
            <wp:extent cx="4057457" cy="2232000"/>
            <wp:docPr id="1" name="Picture 1" descr="Водяная мельница" title="Водяная мельница"/>
            <wp:cNvGraphicFramePr>
              <a:graphicFrameLocks noChangeAspect="1"/>
            </wp:cNvGraphicFramePr>
            <a:graphic>
              <a:graphicData uri="http://schemas.openxmlformats.org/drawingml/2006/picture">
                <pic:pic>
                  <pic:nvPicPr>
                    <pic:cNvPr id="0" name="2b3ceb5d35a25a4326a8.jpg"/>
                    <pic:cNvPicPr/>
                  </pic:nvPicPr>
                  <pic:blipFill>
                    <a:blip r:embed="rId12"/>
                    <a:stretch>
                      <a:fillRect/>
                    </a:stretch>
                  </pic:blipFill>
                  <pic:spPr>
                    <a:xfrm>
                      <a:off x="0" y="0"/>
                      <a:ext cx="4057457" cy="2232000"/>
                    </a:xfrm>
                    <a:prstGeom prst="rect"/>
                  </pic:spPr>
                </pic:pic>
              </a:graphicData>
            </a:graphic>
          </wp:inline>
        </w:drawing>
      </w:r>
    </w:p>
    <w:p>
      <w:pPr>
        <w:spacing w:after="60"/>
        <w:jc w:val="center"/>
      </w:pPr>
      <w:r>
        <w:rPr>
          <w:rFonts w:ascii="Arial" w:hAnsi="Arial" w:eastAsia="Arial"/>
          <w:b w:val="0"/>
          <w:color w:val="606667"/>
          <w:sz w:val="15"/>
        </w:rPr>
        <w:t>Водяная мельница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Суу тегирмени</w:t>
      </w:r>
    </w:p>
    <w:p>
      <w:pPr>
        <w:widowControl/>
        <w:spacing w:before="0" w:after="60" w:line="247" w:lineRule="auto"/>
      </w:pPr>
      <w:r>
        <w:rPr>
          <w:rFonts w:ascii="Arial" w:hAnsi="Arial" w:eastAsia="Arial"/>
          <w:b w:val="0"/>
          <w:color w:val="242C2F"/>
          <w:sz w:val="19"/>
        </w:rPr>
        <w:t>﻿ Суу тегирмени Шаардын өнөр жай ишканалары негизинен айыл чарба продукцияларын иштетишет. 1913-жылы бул жерде жети ири ишкана: эки валик, конфет заводу, булгаары заводдору жана жун жуугуч завод болгон. Ошондой эле 12 суу тегирмени, май куюучу, күрүч тегирмендери, шам чыгаруучу ишканалар, самын заводдору жана башка ишканалар болгон. Суу тегирмендери Аламүдүн жана Ала-Арча дарыяларынын суу каналдарын бойлой жайгашкан.</w:t>
      </w:r>
    </w:p>
    <w:p>
      <w:pPr>
        <w:spacing w:before="20" w:after="0"/>
      </w:pPr>
      <w:r>
        <w:rPr>
          <w:rFonts w:ascii="Arial" w:hAnsi="Arial" w:eastAsia="Arial"/>
          <w:b w:val="0"/>
          <w:color w:val="606667"/>
          <w:sz w:val="14"/>
        </w:rPr>
        <w:t>Булак: https://bimap.su/description/pishpek/188_Melnitca.txt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42.90313, 74.62255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42.90313, 74.62255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