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Константиновская жана Татарская көчөлөрүнүн кесилиши</w:t>
      </w:r>
    </w:p>
    <w:p>
      <w:pPr>
        <w:spacing w:after="100"/>
        <w:jc w:val="center"/>
      </w:pPr>
      <w:r>
        <w:rPr>
          <w:rFonts w:ascii="Arial" w:hAnsi="Arial" w:eastAsia="Arial"/>
          <w:b w:val="0"/>
          <w:color w:val="606667"/>
          <w:sz w:val="17"/>
        </w:rPr>
        <w:t>42.87898, 74.59398</w:t>
      </w:r>
    </w:p>
    <w:p>
      <w:pPr>
        <w:spacing w:before="0" w:after="20"/>
        <w:jc w:val="center"/>
      </w:pPr>
      <w:r>
        <w:drawing>
          <wp:inline xmlns:a="http://schemas.openxmlformats.org/drawingml/2006/main" xmlns:pic="http://schemas.openxmlformats.org/drawingml/2006/picture">
            <wp:extent cx="1657223" cy="2232000"/>
            <wp:docPr id="1" name="Picture 1" descr="Пересечение улиц Константиновская и Татарская" title="Пересечение улиц Константиновская и Татарская"/>
            <wp:cNvGraphicFramePr>
              <a:graphicFrameLocks noChangeAspect="1"/>
            </wp:cNvGraphicFramePr>
            <a:graphic>
              <a:graphicData uri="http://schemas.openxmlformats.org/drawingml/2006/picture">
                <pic:pic>
                  <pic:nvPicPr>
                    <pic:cNvPr id="0" name="e557b32dab5248cbb6ca.jpg"/>
                    <pic:cNvPicPr/>
                  </pic:nvPicPr>
                  <pic:blipFill>
                    <a:blip r:embed="rId12"/>
                    <a:stretch>
                      <a:fillRect/>
                    </a:stretch>
                  </pic:blipFill>
                  <pic:spPr>
                    <a:xfrm>
                      <a:off x="0" y="0"/>
                      <a:ext cx="1657223" cy="2232000"/>
                    </a:xfrm>
                    <a:prstGeom prst="rect"/>
                  </pic:spPr>
                </pic:pic>
              </a:graphicData>
            </a:graphic>
          </wp:inline>
        </w:drawing>
      </w:r>
    </w:p>
    <w:p>
      <w:pPr>
        <w:spacing w:after="60"/>
        <w:jc w:val="center"/>
      </w:pPr>
      <w:r>
        <w:rPr>
          <w:rFonts w:ascii="Arial" w:hAnsi="Arial" w:eastAsia="Arial"/>
          <w:b w:val="0"/>
          <w:color w:val="606667"/>
          <w:sz w:val="15"/>
        </w:rPr>
        <w:t>Пересечение улиц Константиновская и Татарская</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Константиновская жана Татарская көчөлөрүнүн кесилиши</w:t>
      </w:r>
    </w:p>
    <w:p>
      <w:pPr>
        <w:widowControl/>
        <w:spacing w:before="0" w:after="60" w:line="247" w:lineRule="auto"/>
      </w:pPr>
      <w:r>
        <w:rPr>
          <w:rFonts w:ascii="Arial" w:hAnsi="Arial" w:eastAsia="Arial"/>
          <w:b w:val="0"/>
          <w:color w:val="242C2F"/>
          <w:sz w:val="19"/>
        </w:rPr>
        <w:t>﻿ Константиновская х Татарская 19-кылымдын аягы - 20-кылымдын башы шаарды жакшыртуу жана шаар мүлкүнүн башында чоң үйлөрдүн курулушу менен мүнөздөлөт.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Дубалдары жыгач болушу мүмкүн. Бөлмөлөрдүн саны шаар тургунунун байлыгына жараша аныкталган, бирок көбүнчө үйлөр үч бөлмөл</w:t>
      </w:r>
    </w:p>
    <w:p>
      <w:pPr>
        <w:spacing w:before="20" w:after="0"/>
      </w:pPr>
      <w:r>
        <w:rPr>
          <w:rFonts w:ascii="Arial" w:hAnsi="Arial" w:eastAsia="Arial"/>
          <w:b w:val="0"/>
          <w:color w:val="606667"/>
          <w:sz w:val="14"/>
        </w:rPr>
        <w:t>Булак: https://bimap.su/description/pishpek/186_Konstantinovskaia.txt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42.87898, 74.59398</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42.87898, 74.59398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