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Houses on Tashkentskaya street</w:t>
      </w:r>
    </w:p>
    <w:p>
      <w:pPr>
        <w:spacing w:after="100"/>
        <w:jc w:val="center"/>
      </w:pPr>
      <w:r>
        <w:rPr>
          <w:rFonts w:ascii="Arial" w:hAnsi="Arial" w:eastAsia="Arial"/>
          <w:b w:val="0"/>
          <w:color w:val="606667"/>
          <w:sz w:val="17"/>
        </w:rPr>
        <w:t>42.88422, 74.60877</w:t>
      </w:r>
    </w:p>
    <w:p>
      <w:pPr>
        <w:spacing w:before="0" w:after="20"/>
        <w:jc w:val="center"/>
      </w:pPr>
      <w:r>
        <w:drawing>
          <wp:inline xmlns:a="http://schemas.openxmlformats.org/drawingml/2006/main" xmlns:pic="http://schemas.openxmlformats.org/drawingml/2006/picture">
            <wp:extent cx="3290585" cy="2232000"/>
            <wp:docPr id="1" name="Picture 1" descr="Дома по улице Ташкентской" title="Дома по улице Ташкентской"/>
            <wp:cNvGraphicFramePr>
              <a:graphicFrameLocks noChangeAspect="1"/>
            </wp:cNvGraphicFramePr>
            <a:graphic>
              <a:graphicData uri="http://schemas.openxmlformats.org/drawingml/2006/picture">
                <pic:pic>
                  <pic:nvPicPr>
                    <pic:cNvPr id="0" name="3c8bb08ac43abd035ea9.jpg"/>
                    <pic:cNvPicPr/>
                  </pic:nvPicPr>
                  <pic:blipFill>
                    <a:blip r:embed="rId12"/>
                    <a:stretch>
                      <a:fillRect/>
                    </a:stretch>
                  </pic:blipFill>
                  <pic:spPr>
                    <a:xfrm>
                      <a:off x="0" y="0"/>
                      <a:ext cx="3290585" cy="2232000"/>
                    </a:xfrm>
                    <a:prstGeom prst="rect"/>
                  </pic:spPr>
                </pic:pic>
              </a:graphicData>
            </a:graphic>
          </wp:inline>
        </w:drawing>
      </w:r>
    </w:p>
    <w:p>
      <w:pPr>
        <w:spacing w:after="60"/>
        <w:jc w:val="center"/>
      </w:pPr>
      <w:r>
        <w:rPr>
          <w:rFonts w:ascii="Arial" w:hAnsi="Arial" w:eastAsia="Arial"/>
          <w:b w:val="0"/>
          <w:color w:val="606667"/>
          <w:sz w:val="15"/>
        </w:rPr>
        <w:t>Дома по улице Ташкентской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Houses on Tashkentskaya street</w:t>
      </w:r>
    </w:p>
    <w:p>
      <w:pPr>
        <w:widowControl/>
        <w:spacing w:before="0" w:after="60" w:line="247" w:lineRule="auto"/>
      </w:pPr>
      <w:r>
        <w:rPr>
          <w:rFonts w:ascii="Arial" w:hAnsi="Arial" w:eastAsia="Arial"/>
          <w:b w:val="0"/>
          <w:color w:val="242C2F"/>
          <w:sz w:val="19"/>
        </w:rPr>
        <w:t>﻿ Houses on Tashkentskaya between Pushchinskaya and Boulevard The initial construction of houses in the city took place spontaneously - near the ruined fortress, along the Tashkent highway and the Alamedin River channel, so the streets of this area adjoin obliquely to the rectilinear streets of later planned development. This part of the city consisted of small clay buildings with reed roofs, whitewashed walls and courtyards hidden behind blind c</w:t>
      </w:r>
    </w:p>
    <w:p>
      <w:pPr>
        <w:spacing w:before="20" w:after="0"/>
      </w:pPr>
      <w:r>
        <w:rPr>
          <w:rFonts w:ascii="Arial" w:hAnsi="Arial" w:eastAsia="Arial"/>
          <w:b w:val="0"/>
          <w:color w:val="606667"/>
          <w:sz w:val="14"/>
        </w:rPr>
        <w:t>Source: https://bimap.su/description/pishpek/174_Doma_na_Tashkentskoi.txt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42.88422, 74.60877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42.88422, 74.60877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