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Дунгановкадагы мечит</w:t>
      </w:r>
    </w:p>
    <w:p>
      <w:pPr>
        <w:spacing w:after="100"/>
        <w:jc w:val="center"/>
      </w:pPr>
      <w:r>
        <w:rPr>
          <w:rFonts w:ascii="Arial" w:hAnsi="Arial" w:eastAsia="Arial"/>
          <w:b w:val="0"/>
          <w:color w:val="606667"/>
          <w:sz w:val="17"/>
        </w:rPr>
        <w:t>42.87710, 74.58867</w:t>
      </w:r>
    </w:p>
    <w:p>
      <w:pPr>
        <w:spacing w:before="0" w:after="20"/>
        <w:jc w:val="center"/>
      </w:pPr>
      <w:r>
        <w:drawing>
          <wp:inline xmlns:a="http://schemas.openxmlformats.org/drawingml/2006/main" xmlns:pic="http://schemas.openxmlformats.org/drawingml/2006/picture">
            <wp:extent cx="3375487" cy="2232000"/>
            <wp:docPr id="1" name="Picture 1" descr="Мечеть в Дунгановке" title="Мечеть в Дунгановке"/>
            <wp:cNvGraphicFramePr>
              <a:graphicFrameLocks noChangeAspect="1"/>
            </wp:cNvGraphicFramePr>
            <a:graphic>
              <a:graphicData uri="http://schemas.openxmlformats.org/drawingml/2006/picture">
                <pic:pic>
                  <pic:nvPicPr>
                    <pic:cNvPr id="0" name="2be4d8a9feeac4b7afff.jpg"/>
                    <pic:cNvPicPr/>
                  </pic:nvPicPr>
                  <pic:blipFill>
                    <a:blip r:embed="rId12"/>
                    <a:stretch>
                      <a:fillRect/>
                    </a:stretch>
                  </pic:blipFill>
                  <pic:spPr>
                    <a:xfrm>
                      <a:off x="0" y="0"/>
                      <a:ext cx="3375487" cy="2232000"/>
                    </a:xfrm>
                    <a:prstGeom prst="rect"/>
                  </pic:spPr>
                </pic:pic>
              </a:graphicData>
            </a:graphic>
          </wp:inline>
        </w:drawing>
      </w:r>
    </w:p>
    <w:p>
      <w:pPr>
        <w:spacing w:after="60"/>
        <w:jc w:val="center"/>
      </w:pPr>
      <w:r>
        <w:rPr>
          <w:rFonts w:ascii="Arial" w:hAnsi="Arial" w:eastAsia="Arial"/>
          <w:b w:val="0"/>
          <w:color w:val="606667"/>
          <w:sz w:val="15"/>
        </w:rPr>
        <w:t>Мечеть в Дунгановке</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Дунгановкадагы мечит</w:t>
      </w:r>
    </w:p>
    <w:p>
      <w:pPr>
        <w:widowControl/>
        <w:spacing w:before="0" w:after="60" w:line="247" w:lineRule="auto"/>
      </w:pPr>
      <w:r>
        <w:rPr>
          <w:rFonts w:ascii="Arial" w:hAnsi="Arial" w:eastAsia="Arial"/>
          <w:b w:val="0"/>
          <w:color w:val="242C2F"/>
          <w:sz w:val="19"/>
        </w:rPr>
        <w:t xml:space="preserve">﻿ Дунгановкадагы мечит. Б.Смирновдун чиймесинден, 1906. Шаарда жыйырма мечит жана сыйынуу үйү болгон. Ключеваядагы дунган мечити башкалардан өзүнүн жарашыктуулугу менен айырмаланып турган. Ачык веранда жана учтуу чатыры жыгач оюмдары менен кооздолгон. 1918-жылы Беловодск көтөрүлүшүндө Пишпек дунгандарынын басымдуу бөлүгү көтөрүлүшчүлөр тарабына өткөн. Козголоңчуларды басуу өзгөчө ырайымсыз болгон. Согуштук аракеттерге катышкандар жеринде атылып, </w:t>
      </w:r>
    </w:p>
    <w:p>
      <w:pPr>
        <w:spacing w:before="20" w:after="0"/>
      </w:pPr>
      <w:r>
        <w:rPr>
          <w:rFonts w:ascii="Arial" w:hAnsi="Arial" w:eastAsia="Arial"/>
          <w:b w:val="0"/>
          <w:color w:val="606667"/>
          <w:sz w:val="14"/>
        </w:rPr>
        <w:t>Булак: https://bimap.su/description/pishpek/171_Dunganskaia_mechet.txt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42.87710, 74.58867</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42.87710, 74.58867</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