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Базарная көчөсүнүн чыгыш тарабындагы үй</w:t>
      </w:r>
    </w:p>
    <w:p>
      <w:pPr>
        <w:spacing w:after="100"/>
        <w:jc w:val="center"/>
      </w:pPr>
      <w:r>
        <w:rPr>
          <w:rFonts w:ascii="Arial" w:hAnsi="Arial" w:eastAsia="Arial"/>
          <w:b w:val="0"/>
          <w:color w:val="606667"/>
          <w:sz w:val="17"/>
        </w:rPr>
        <w:t>42.88659, 74.61192</w:t>
      </w:r>
    </w:p>
    <w:p>
      <w:pPr>
        <w:spacing w:before="0" w:after="20"/>
        <w:jc w:val="center"/>
      </w:pPr>
      <w:r>
        <w:drawing>
          <wp:inline xmlns:a="http://schemas.openxmlformats.org/drawingml/2006/main" xmlns:pic="http://schemas.openxmlformats.org/drawingml/2006/picture">
            <wp:extent cx="4268591" cy="2232000"/>
            <wp:docPr id="1" name="Picture 1" descr="Дом по восточной стороне улицы Базарной" title="Дом по восточной стороне улицы Базарной"/>
            <wp:cNvGraphicFramePr>
              <a:graphicFrameLocks noChangeAspect="1"/>
            </wp:cNvGraphicFramePr>
            <a:graphic>
              <a:graphicData uri="http://schemas.openxmlformats.org/drawingml/2006/picture">
                <pic:pic>
                  <pic:nvPicPr>
                    <pic:cNvPr id="0" name="a3095ff06361cf2c425d.jpg"/>
                    <pic:cNvPicPr/>
                  </pic:nvPicPr>
                  <pic:blipFill>
                    <a:blip r:embed="rId12"/>
                    <a:stretch>
                      <a:fillRect/>
                    </a:stretch>
                  </pic:blipFill>
                  <pic:spPr>
                    <a:xfrm>
                      <a:off x="0" y="0"/>
                      <a:ext cx="4268591" cy="2232000"/>
                    </a:xfrm>
                    <a:prstGeom prst="rect"/>
                  </pic:spPr>
                </pic:pic>
              </a:graphicData>
            </a:graphic>
          </wp:inline>
        </w:drawing>
      </w:r>
    </w:p>
    <w:p>
      <w:pPr>
        <w:spacing w:after="60"/>
        <w:jc w:val="center"/>
      </w:pPr>
      <w:r>
        <w:rPr>
          <w:rFonts w:ascii="Arial" w:hAnsi="Arial" w:eastAsia="Arial"/>
          <w:b w:val="0"/>
          <w:color w:val="606667"/>
          <w:sz w:val="15"/>
        </w:rPr>
        <w:t>Дом по восточной стороне улицы Базарной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Базарная көчөсүнүн чыгыш тарабындагы үй</w:t>
      </w:r>
    </w:p>
    <w:p>
      <w:pPr>
        <w:widowControl/>
        <w:spacing w:before="0" w:after="60" w:line="247" w:lineRule="auto"/>
      </w:pPr>
      <w:r>
        <w:rPr>
          <w:rFonts w:ascii="Arial" w:hAnsi="Arial" w:eastAsia="Arial"/>
          <w:b w:val="0"/>
          <w:color w:val="242C2F"/>
          <w:sz w:val="19"/>
        </w:rPr>
        <w:t>﻿ Базарная көчөсүнүн чыгыш тарабында, Ташкентскаядан төмөн жайгашкан үй. 20-кылымдын башы 19-кылымдын аягы 20-кылымдын башы шаарды көрктөндүрүү жана шаар мүлкүнүн башында чоң үйлөрдүн курулушу менен мүнөздөлгөн.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каркас-жыгач же журнал болуп саналат. Бөлмөлөрдүн с</w:t>
      </w:r>
    </w:p>
    <w:p>
      <w:pPr>
        <w:spacing w:before="20" w:after="0"/>
      </w:pPr>
      <w:r>
        <w:rPr>
          <w:rFonts w:ascii="Arial" w:hAnsi="Arial" w:eastAsia="Arial"/>
          <w:b w:val="0"/>
          <w:color w:val="606667"/>
          <w:sz w:val="14"/>
        </w:rPr>
        <w:t>Булак: https://bimap.su/description/pishpek/166_Doma_na_Bazarnoi.txt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42.88659, 74.61192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42.88659, 74.61192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