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Судейская көчөсүндөгү үй</w:t>
      </w:r>
    </w:p>
    <w:p>
      <w:pPr>
        <w:spacing w:after="100"/>
        <w:jc w:val="center"/>
      </w:pPr>
      <w:r>
        <w:rPr>
          <w:rFonts w:ascii="Arial" w:hAnsi="Arial" w:eastAsia="Arial"/>
          <w:b w:val="0"/>
          <w:color w:val="606667"/>
          <w:sz w:val="17"/>
        </w:rPr>
        <w:t>42.88199, 74.57747</w:t>
      </w:r>
    </w:p>
    <w:p>
      <w:pPr>
        <w:spacing w:before="0" w:after="20"/>
        <w:jc w:val="center"/>
      </w:pPr>
      <w:r>
        <w:drawing>
          <wp:inline xmlns:a="http://schemas.openxmlformats.org/drawingml/2006/main" xmlns:pic="http://schemas.openxmlformats.org/drawingml/2006/picture">
            <wp:extent cx="2909373" cy="2232000"/>
            <wp:docPr id="1" name="Picture 1" descr="Дом по улице Судейской" title="Дом по улице Судейской"/>
            <wp:cNvGraphicFramePr>
              <a:graphicFrameLocks noChangeAspect="1"/>
            </wp:cNvGraphicFramePr>
            <a:graphic>
              <a:graphicData uri="http://schemas.openxmlformats.org/drawingml/2006/picture">
                <pic:pic>
                  <pic:nvPicPr>
                    <pic:cNvPr id="0" name="52cbe62f52de0bb943c5.jpg"/>
                    <pic:cNvPicPr/>
                  </pic:nvPicPr>
                  <pic:blipFill>
                    <a:blip r:embed="rId12"/>
                    <a:stretch>
                      <a:fillRect/>
                    </a:stretch>
                  </pic:blipFill>
                  <pic:spPr>
                    <a:xfrm>
                      <a:off x="0" y="0"/>
                      <a:ext cx="2909373" cy="2232000"/>
                    </a:xfrm>
                    <a:prstGeom prst="rect"/>
                  </pic:spPr>
                </pic:pic>
              </a:graphicData>
            </a:graphic>
          </wp:inline>
        </w:drawing>
      </w:r>
    </w:p>
    <w:p>
      <w:pPr>
        <w:spacing w:after="60"/>
        <w:jc w:val="center"/>
      </w:pPr>
      <w:r>
        <w:rPr>
          <w:rFonts w:ascii="Arial" w:hAnsi="Arial" w:eastAsia="Arial"/>
          <w:b w:val="0"/>
          <w:color w:val="606667"/>
          <w:sz w:val="15"/>
        </w:rPr>
        <w:t>Дом по улице Судейской · Денисова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Судейская көчөсүндөгү үй</w:t>
      </w:r>
    </w:p>
    <w:p>
      <w:pPr>
        <w:widowControl/>
        <w:spacing w:before="0" w:after="60" w:line="247" w:lineRule="auto"/>
      </w:pPr>
      <w:r>
        <w:rPr>
          <w:rFonts w:ascii="Arial" w:hAnsi="Arial" w:eastAsia="Arial"/>
          <w:b w:val="0"/>
          <w:color w:val="242C2F"/>
          <w:sz w:val="19"/>
        </w:rPr>
        <w:t>﻿ Атбашинскаянын чыгышындагы Судейская көчөсүндөгү үй. 20-кылымдын башы 19-кылымдын аягы 20-кылымдын башы шаарды көрктөндүрүү жана шаар мүлкүнүн башында чоң үйлөрдүн курулушу менен мүнөздөлгөн.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жыгач болушу мүмкүн. Бөлмөлөрдүн саны шаар тургунунун байлыгына жараш</w:t>
      </w:r>
    </w:p>
    <w:p>
      <w:pPr>
        <w:spacing w:before="20" w:after="0"/>
      </w:pPr>
      <w:r>
        <w:rPr>
          <w:rFonts w:ascii="Arial" w:hAnsi="Arial" w:eastAsia="Arial"/>
          <w:b w:val="0"/>
          <w:color w:val="606667"/>
          <w:sz w:val="14"/>
        </w:rPr>
        <w:t>Булак: https://bimap.su/description/pishpek/163_Dom_na_Sudeiskoi.txt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42.88199, 74.57747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42.88199, 74.57747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