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Атка минген почта бекети</w:t>
      </w:r>
    </w:p>
    <w:p>
      <w:pPr>
        <w:spacing w:after="100"/>
        <w:jc w:val="center"/>
      </w:pPr>
      <w:r>
        <w:rPr>
          <w:rFonts w:ascii="Arial" w:hAnsi="Arial" w:eastAsia="Arial"/>
          <w:b w:val="0"/>
          <w:color w:val="606667"/>
          <w:sz w:val="17"/>
        </w:rPr>
        <w:t>42.88460, 74.61505</w:t>
      </w:r>
    </w:p>
    <w:p>
      <w:pPr>
        <w:spacing w:before="0" w:after="20"/>
        <w:jc w:val="center"/>
      </w:pPr>
      <w:r>
        <w:drawing>
          <wp:inline xmlns:a="http://schemas.openxmlformats.org/drawingml/2006/main" xmlns:pic="http://schemas.openxmlformats.org/drawingml/2006/picture">
            <wp:extent cx="3222944" cy="2232000"/>
            <wp:docPr id="1" name="Picture 1" descr="Конно-почтовая станция" title="Конно-почтовая станция"/>
            <wp:cNvGraphicFramePr>
              <a:graphicFrameLocks noChangeAspect="1"/>
            </wp:cNvGraphicFramePr>
            <a:graphic>
              <a:graphicData uri="http://schemas.openxmlformats.org/drawingml/2006/picture">
                <pic:pic>
                  <pic:nvPicPr>
                    <pic:cNvPr id="0" name="225aa4002ff8b2aea13d.jpg"/>
                    <pic:cNvPicPr/>
                  </pic:nvPicPr>
                  <pic:blipFill>
                    <a:blip r:embed="rId12"/>
                    <a:stretch>
                      <a:fillRect/>
                    </a:stretch>
                  </pic:blipFill>
                  <pic:spPr>
                    <a:xfrm>
                      <a:off x="0" y="0"/>
                      <a:ext cx="3222944" cy="2232000"/>
                    </a:xfrm>
                    <a:prstGeom prst="rect"/>
                  </pic:spPr>
                </pic:pic>
              </a:graphicData>
            </a:graphic>
          </wp:inline>
        </w:drawing>
      </w:r>
    </w:p>
    <w:p>
      <w:pPr>
        <w:spacing w:after="60"/>
        <w:jc w:val="center"/>
      </w:pPr>
      <w:r>
        <w:rPr>
          <w:rFonts w:ascii="Arial" w:hAnsi="Arial" w:eastAsia="Arial"/>
          <w:b w:val="0"/>
          <w:color w:val="606667"/>
          <w:sz w:val="15"/>
        </w:rPr>
        <w:t>Конно-почтовая станция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Атка минген почта бекети</w:t>
      </w:r>
    </w:p>
    <w:p>
      <w:pPr>
        <w:widowControl/>
        <w:spacing w:before="0" w:after="60" w:line="247" w:lineRule="auto"/>
      </w:pPr>
      <w:r>
        <w:rPr>
          <w:rFonts w:ascii="Arial" w:hAnsi="Arial" w:eastAsia="Arial"/>
          <w:b w:val="0"/>
          <w:color w:val="242C2F"/>
          <w:sz w:val="19"/>
        </w:rPr>
        <w:t xml:space="preserve">﻿ 1868-жылкы Почта бекети Аймакта дөңгөлөктүү тарантас арабалар менен почта байланышынын башталышы 1864-жылы түптөлгөн. Бийликтин буйругу менен почта байланышы жергиликтүү калктын табигый кызматы болгон жана ар бир почта бекетин тейлөө жакынкы Кыргыздар, атчан, автономдор, начальниктерге тапшырылган. машыктыруучуларды багуу үчүн жабдыктар жана акча. Бирок арабалар менен жабдыктар жапайы аттар менен машыктыруучулар тарабынан көп өтпөй талкаланып, </w:t>
      </w:r>
    </w:p>
    <w:p>
      <w:pPr>
        <w:spacing w:before="20" w:after="0"/>
      </w:pPr>
      <w:r>
        <w:rPr>
          <w:rFonts w:ascii="Arial" w:hAnsi="Arial" w:eastAsia="Arial"/>
          <w:b w:val="0"/>
          <w:color w:val="606667"/>
          <w:sz w:val="14"/>
        </w:rPr>
        <w:t>Булак: https://bimap.su/description/pishpek/162_Konnaia_stancia_1868.txt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42.88460, 74.61505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42.88460, 74.61505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