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Соодагердин аялы Гущинанын үйү</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3013199" cy="2232000"/>
            <wp:docPr id="1" name="Picture 1" descr="Дом купчихи Гущиной" title="Дом купчихи Гущиной"/>
            <wp:cNvGraphicFramePr>
              <a:graphicFrameLocks noChangeAspect="1"/>
            </wp:cNvGraphicFramePr>
            <a:graphic>
              <a:graphicData uri="http://schemas.openxmlformats.org/drawingml/2006/picture">
                <pic:pic>
                  <pic:nvPicPr>
                    <pic:cNvPr id="0" name="96920a0bf2edcd3c48b2.jpg"/>
                    <pic:cNvPicPr/>
                  </pic:nvPicPr>
                  <pic:blipFill>
                    <a:blip r:embed="rId12"/>
                    <a:stretch>
                      <a:fillRect/>
                    </a:stretch>
                  </pic:blipFill>
                  <pic:spPr>
                    <a:xfrm>
                      <a:off x="0" y="0"/>
                      <a:ext cx="3013199" cy="2232000"/>
                    </a:xfrm>
                    <a:prstGeom prst="rect"/>
                  </pic:spPr>
                </pic:pic>
              </a:graphicData>
            </a:graphic>
          </wp:inline>
        </w:drawing>
      </w:r>
    </w:p>
    <w:p>
      <w:pPr>
        <w:spacing w:after="60"/>
        <w:jc w:val="center"/>
      </w:pPr>
      <w:r>
        <w:rPr>
          <w:rFonts w:ascii="Arial" w:hAnsi="Arial" w:eastAsia="Arial"/>
          <w:b w:val="0"/>
          <w:color w:val="606667"/>
          <w:sz w:val="15"/>
        </w:rPr>
        <w:t>Дом купчихи Гущиной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Соодагердин аялы Гущинанын үйү</w:t>
      </w:r>
    </w:p>
    <w:p>
      <w:pPr>
        <w:widowControl/>
        <w:spacing w:before="0" w:after="60" w:line="247" w:lineRule="auto"/>
      </w:pPr>
      <w:r>
        <w:rPr>
          <w:rFonts w:ascii="Arial" w:hAnsi="Arial" w:eastAsia="Arial"/>
          <w:b w:val="0"/>
          <w:color w:val="242C2F"/>
          <w:sz w:val="19"/>
        </w:rPr>
        <w:t>﻿ Соодагердин аялы Гущинанын үйү. 2008-жылы талкаланган 19-кылымдын аягы 20-кылымдын башы шаардын көрктөндүрүү жана шаар мүлкүнүн баш жагында чоң үйлөрдүн курулушу менен мүнөздөлгөн.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кирпич болчу. Бөлмөлөрдүн саны шаар тургунунун байлыгына жараша аныкталган. Чаты</w:t>
      </w:r>
    </w:p>
    <w:p>
      <w:pPr>
        <w:spacing w:before="20" w:after="0"/>
      </w:pPr>
      <w:r>
        <w:rPr>
          <w:rFonts w:ascii="Arial" w:hAnsi="Arial" w:eastAsia="Arial"/>
          <w:b w:val="0"/>
          <w:color w:val="606667"/>
          <w:sz w:val="14"/>
        </w:rPr>
        <w:t>Булак: https://bimap.su/description/pishpek/160_Dom_Guschinoi.txt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42.88210, 74.60867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