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Айыл чарба мектебинин имараты</w:t>
      </w:r>
    </w:p>
    <w:p>
      <w:pPr>
        <w:spacing w:after="100"/>
        <w:jc w:val="center"/>
      </w:pPr>
      <w:r>
        <w:rPr>
          <w:rFonts w:ascii="Arial" w:hAnsi="Arial" w:eastAsia="Arial"/>
          <w:b w:val="0"/>
          <w:color w:val="606667"/>
          <w:sz w:val="17"/>
        </w:rPr>
        <w:t>42.84429, 74.60399</w:t>
      </w:r>
    </w:p>
    <w:p>
      <w:pPr>
        <w:spacing w:before="0" w:after="20"/>
        <w:jc w:val="center"/>
      </w:pPr>
      <w:r>
        <w:drawing>
          <wp:inline xmlns:a="http://schemas.openxmlformats.org/drawingml/2006/main" xmlns:pic="http://schemas.openxmlformats.org/drawingml/2006/picture">
            <wp:extent cx="3971530" cy="2232000"/>
            <wp:docPr id="1" name="Picture 1" descr="Здание сельхозшколы" title="Здание сельхозшколы"/>
            <wp:cNvGraphicFramePr>
              <a:graphicFrameLocks noChangeAspect="1"/>
            </wp:cNvGraphicFramePr>
            <a:graphic>
              <a:graphicData uri="http://schemas.openxmlformats.org/drawingml/2006/picture">
                <pic:pic>
                  <pic:nvPicPr>
                    <pic:cNvPr id="0" name="6865a1be021a53b20f8f.jpg"/>
                    <pic:cNvPicPr/>
                  </pic:nvPicPr>
                  <pic:blipFill>
                    <a:blip r:embed="rId12"/>
                    <a:stretch>
                      <a:fillRect/>
                    </a:stretch>
                  </pic:blipFill>
                  <pic:spPr>
                    <a:xfrm>
                      <a:off x="0" y="0"/>
                      <a:ext cx="3971530" cy="2232000"/>
                    </a:xfrm>
                    <a:prstGeom prst="rect"/>
                  </pic:spPr>
                </pic:pic>
              </a:graphicData>
            </a:graphic>
          </wp:inline>
        </w:drawing>
      </w:r>
    </w:p>
    <w:p>
      <w:pPr>
        <w:spacing w:after="60"/>
        <w:jc w:val="center"/>
      </w:pPr>
      <w:r>
        <w:rPr>
          <w:rFonts w:ascii="Arial" w:hAnsi="Arial" w:eastAsia="Arial"/>
          <w:b w:val="0"/>
          <w:color w:val="606667"/>
          <w:sz w:val="15"/>
        </w:rPr>
        <w:t>Здание сельхозшколы · Виктора Глумскова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Айыл чарба мектебинин имараты</w:t>
      </w:r>
    </w:p>
    <w:p>
      <w:pPr>
        <w:widowControl/>
        <w:spacing w:before="0" w:after="60" w:line="247" w:lineRule="auto"/>
      </w:pPr>
      <w:r>
        <w:rPr>
          <w:rFonts w:ascii="Arial" w:hAnsi="Arial" w:eastAsia="Arial"/>
          <w:b w:val="0"/>
          <w:color w:val="242C2F"/>
          <w:sz w:val="19"/>
        </w:rPr>
        <w:t>﻿ Айыл чарба мектебинин имараты. 2005-жылы талкаланган 1889-жылы А.М. Фетисов кыргыз багбанчылык мектебин негиздеген. Анын окуучулары толугу менен кыргыз калкы чогулткан каражаттын эсебинен камсыз болгон. Негизги максат студенттердин багбанчылык, жашылча багбанчылык өнөрүн өздөштүрүү болчу. Мектепте окуу курсу үч жылга созулду. 1894-жылы Фетисов каза болгондон кийин мектепти Илья Павлович Иванов жетектеген. Анын тушунда мектеп жана анын бакчасы ү</w:t>
      </w:r>
    </w:p>
    <w:p>
      <w:pPr>
        <w:spacing w:before="20" w:after="0"/>
      </w:pPr>
      <w:r>
        <w:rPr>
          <w:rFonts w:ascii="Arial" w:hAnsi="Arial" w:eastAsia="Arial"/>
          <w:b w:val="0"/>
          <w:color w:val="606667"/>
          <w:sz w:val="14"/>
        </w:rPr>
        <w:t>Булак: https://bimap.su/description/pishpek/159_Selhozshkola.txt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42.84429, 74.60399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42.84429, 74.60399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