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Agricultural school building</w:t>
      </w:r>
    </w:p>
    <w:p>
      <w:pPr>
        <w:spacing w:after="100"/>
        <w:jc w:val="center"/>
      </w:pPr>
      <w:r>
        <w:rPr>
          <w:rFonts w:ascii="Arial" w:hAnsi="Arial" w:eastAsia="Arial"/>
          <w:b w:val="0"/>
          <w:color w:val="606667"/>
          <w:sz w:val="17"/>
        </w:rPr>
        <w:t>42.84429, 74.60399</w:t>
      </w:r>
    </w:p>
    <w:p>
      <w:pPr>
        <w:spacing w:before="0" w:after="20"/>
        <w:jc w:val="center"/>
      </w:pPr>
      <w:r>
        <w:drawing>
          <wp:inline xmlns:a="http://schemas.openxmlformats.org/drawingml/2006/main" xmlns:pic="http://schemas.openxmlformats.org/drawingml/2006/picture">
            <wp:extent cx="3971530" cy="2232000"/>
            <wp:docPr id="1" name="Picture 1" descr="Здание сельхозшколы" title="Здание сельхозшколы"/>
            <wp:cNvGraphicFramePr>
              <a:graphicFrameLocks noChangeAspect="1"/>
            </wp:cNvGraphicFramePr>
            <a:graphic>
              <a:graphicData uri="http://schemas.openxmlformats.org/drawingml/2006/picture">
                <pic:pic>
                  <pic:nvPicPr>
                    <pic:cNvPr id="0" name="6865a1be021a53b20f8f.jpg"/>
                    <pic:cNvPicPr/>
                  </pic:nvPicPr>
                  <pic:blipFill>
                    <a:blip r:embed="rId12"/>
                    <a:stretch>
                      <a:fillRect/>
                    </a:stretch>
                  </pic:blipFill>
                  <pic:spPr>
                    <a:xfrm>
                      <a:off x="0" y="0"/>
                      <a:ext cx="3971530" cy="2232000"/>
                    </a:xfrm>
                    <a:prstGeom prst="rect"/>
                  </pic:spPr>
                </pic:pic>
              </a:graphicData>
            </a:graphic>
          </wp:inline>
        </w:drawing>
      </w:r>
    </w:p>
    <w:p>
      <w:pPr>
        <w:spacing w:after="60"/>
        <w:jc w:val="center"/>
      </w:pPr>
      <w:r>
        <w:rPr>
          <w:rFonts w:ascii="Arial" w:hAnsi="Arial" w:eastAsia="Arial"/>
          <w:b w:val="0"/>
          <w:color w:val="606667"/>
          <w:sz w:val="15"/>
        </w:rPr>
        <w:t>Здание сельхозшколы · Виктора Глумскова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Agricultural school building</w:t>
      </w:r>
    </w:p>
    <w:p>
      <w:pPr>
        <w:widowControl/>
        <w:spacing w:before="0" w:after="60" w:line="247" w:lineRule="auto"/>
      </w:pPr>
      <w:r>
        <w:rPr>
          <w:rFonts w:ascii="Arial" w:hAnsi="Arial" w:eastAsia="Arial"/>
          <w:b w:val="0"/>
          <w:color w:val="242C2F"/>
          <w:sz w:val="19"/>
        </w:rPr>
        <w:t>﻿ Agricultural school building. Demolished in 2005 In 1889 A.M. Fetisov founded the Kyrgyz school of gardening. Its students were fully supported by funds raised by the Kyrgyz population. The main goal was for students to master gardening and vegetable gardening skills. The course of study at the school lasted three years. After Fetisov's death in 1894, the school was headed by Ilya Pavlovich Ivanov. Under him, the school and its garden were in e</w:t>
      </w:r>
    </w:p>
    <w:p>
      <w:pPr>
        <w:spacing w:before="20" w:after="0"/>
      </w:pPr>
      <w:r>
        <w:rPr>
          <w:rFonts w:ascii="Arial" w:hAnsi="Arial" w:eastAsia="Arial"/>
          <w:b w:val="0"/>
          <w:color w:val="606667"/>
          <w:sz w:val="14"/>
        </w:rPr>
        <w:t>Source: https://bimap.su/description/pishpek/159_Selhozshkola.txt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42.84429, 74.60399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42.84429, 74.60399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