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Ключевая көчөсүндөгү үй</w:t>
      </w:r>
    </w:p>
    <w:p>
      <w:pPr>
        <w:spacing w:after="100"/>
        <w:jc w:val="center"/>
      </w:pPr>
      <w:r>
        <w:rPr>
          <w:rFonts w:ascii="Arial" w:hAnsi="Arial" w:eastAsia="Arial"/>
          <w:b w:val="0"/>
          <w:color w:val="606667"/>
          <w:sz w:val="17"/>
        </w:rPr>
        <w:t>42.88118, 74.58900</w:t>
      </w:r>
    </w:p>
    <w:p>
      <w:pPr>
        <w:spacing w:before="0" w:after="20"/>
        <w:jc w:val="center"/>
      </w:pPr>
      <w:r>
        <w:drawing>
          <wp:inline xmlns:a="http://schemas.openxmlformats.org/drawingml/2006/main" xmlns:pic="http://schemas.openxmlformats.org/drawingml/2006/picture">
            <wp:extent cx="3219551" cy="2232000"/>
            <wp:docPr id="1" name="Picture 1" descr="Дом по улице Ключевой" title="Дом по улице Ключевой"/>
            <wp:cNvGraphicFramePr>
              <a:graphicFrameLocks noChangeAspect="1"/>
            </wp:cNvGraphicFramePr>
            <a:graphic>
              <a:graphicData uri="http://schemas.openxmlformats.org/drawingml/2006/picture">
                <pic:pic>
                  <pic:nvPicPr>
                    <pic:cNvPr id="0" name="00e75fdea8c050ce0ab8.jpg"/>
                    <pic:cNvPicPr/>
                  </pic:nvPicPr>
                  <pic:blipFill>
                    <a:blip r:embed="rId12"/>
                    <a:stretch>
                      <a:fillRect/>
                    </a:stretch>
                  </pic:blipFill>
                  <pic:spPr>
                    <a:xfrm>
                      <a:off x="0" y="0"/>
                      <a:ext cx="3219551" cy="2232000"/>
                    </a:xfrm>
                    <a:prstGeom prst="rect"/>
                  </pic:spPr>
                </pic:pic>
              </a:graphicData>
            </a:graphic>
          </wp:inline>
        </w:drawing>
      </w:r>
    </w:p>
    <w:p>
      <w:pPr>
        <w:spacing w:after="60"/>
        <w:jc w:val="center"/>
      </w:pPr>
      <w:r>
        <w:rPr>
          <w:rFonts w:ascii="Arial" w:hAnsi="Arial" w:eastAsia="Arial"/>
          <w:b w:val="0"/>
          <w:color w:val="606667"/>
          <w:sz w:val="15"/>
        </w:rPr>
        <w:t>Дом по улице Ключевой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Ключевая көчөсүндөгү үй</w:t>
      </w:r>
    </w:p>
    <w:p>
      <w:pPr>
        <w:widowControl/>
        <w:spacing w:before="0" w:after="60" w:line="247" w:lineRule="auto"/>
      </w:pPr>
      <w:r>
        <w:rPr>
          <w:rFonts w:ascii="Arial" w:hAnsi="Arial" w:eastAsia="Arial"/>
          <w:b w:val="0"/>
          <w:color w:val="242C2F"/>
          <w:sz w:val="19"/>
        </w:rPr>
        <w:t>﻿ Ключевая көчөсүндөгү үй. 20-кылымдын башы Шаардын кеңейиши жана түз сызыкчасы башаламан курулган Дунгановкага таасирин тийгизген. Көптөгөн тургундар “урбанизациянын” чабуулуна туруштук бере албай, жер тилкелерин сатып, айылга көчүп кетишкен. Башкалары соодагерлер жана өнөр жайчылар болуп, шаардын борбордук бөлүгүнө да пландуу үйлөрдү курушкан. Ошентип, Лулоса Мотаню менен анын бир тууганы Юсуздун бир катар дүкөндөрү, Милянфан шаарында күрүч пла</w:t>
      </w:r>
    </w:p>
    <w:p>
      <w:pPr>
        <w:spacing w:before="20" w:after="0"/>
      </w:pPr>
      <w:r>
        <w:rPr>
          <w:rFonts w:ascii="Arial" w:hAnsi="Arial" w:eastAsia="Arial"/>
          <w:b w:val="0"/>
          <w:color w:val="606667"/>
          <w:sz w:val="14"/>
        </w:rPr>
        <w:t>Булак: https://bimap.su/description/pishpek/147_Dom_na_Kluchevoi.txt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42.88118, 74.58900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42.88118, 74.58900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