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Судейская жана Атбашинская көчөлөрүнүн кесилишиндеги үй</w:t>
      </w:r>
    </w:p>
    <w:p>
      <w:pPr>
        <w:spacing w:after="100"/>
        <w:jc w:val="center"/>
      </w:pPr>
      <w:r>
        <w:rPr>
          <w:rFonts w:ascii="Arial" w:hAnsi="Arial" w:eastAsia="Arial"/>
          <w:b w:val="0"/>
          <w:color w:val="606667"/>
          <w:sz w:val="17"/>
        </w:rPr>
        <w:t>42.88196, 74.57678</w:t>
      </w:r>
    </w:p>
    <w:p>
      <w:pPr>
        <w:spacing w:before="0" w:after="20"/>
        <w:jc w:val="center"/>
      </w:pPr>
      <w:r>
        <w:drawing>
          <wp:inline xmlns:a="http://schemas.openxmlformats.org/drawingml/2006/main" xmlns:pic="http://schemas.openxmlformats.org/drawingml/2006/picture">
            <wp:extent cx="3386205" cy="2232000"/>
            <wp:docPr id="1" name="Picture 1" descr="Дом на углу улиц Судейской и Атбашинской" title="Дом на углу улиц Судейской и Атбашинской"/>
            <wp:cNvGraphicFramePr>
              <a:graphicFrameLocks noChangeAspect="1"/>
            </wp:cNvGraphicFramePr>
            <a:graphic>
              <a:graphicData uri="http://schemas.openxmlformats.org/drawingml/2006/picture">
                <pic:pic>
                  <pic:nvPicPr>
                    <pic:cNvPr id="0" name="8231d22ac9a8cbb2d143.jpg"/>
                    <pic:cNvPicPr/>
                  </pic:nvPicPr>
                  <pic:blipFill>
                    <a:blip r:embed="rId12"/>
                    <a:stretch>
                      <a:fillRect/>
                    </a:stretch>
                  </pic:blipFill>
                  <pic:spPr>
                    <a:xfrm>
                      <a:off x="0" y="0"/>
                      <a:ext cx="3386205" cy="2232000"/>
                    </a:xfrm>
                    <a:prstGeom prst="rect"/>
                  </pic:spPr>
                </pic:pic>
              </a:graphicData>
            </a:graphic>
          </wp:inline>
        </w:drawing>
      </w:r>
    </w:p>
    <w:p>
      <w:pPr>
        <w:spacing w:after="60"/>
        <w:jc w:val="center"/>
      </w:pPr>
      <w:r>
        <w:rPr>
          <w:rFonts w:ascii="Arial" w:hAnsi="Arial" w:eastAsia="Arial"/>
          <w:b w:val="0"/>
          <w:color w:val="606667"/>
          <w:sz w:val="15"/>
        </w:rPr>
        <w:t>Дом на углу улиц Судейской и Атбашинской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Судейская жана Атбашинская көчөлөрүнүн кесилишиндеги үй</w:t>
      </w:r>
    </w:p>
    <w:p>
      <w:pPr>
        <w:widowControl/>
        <w:spacing w:before="0" w:after="60" w:line="247" w:lineRule="auto"/>
      </w:pPr>
      <w:r>
        <w:rPr>
          <w:rFonts w:ascii="Arial" w:hAnsi="Arial" w:eastAsia="Arial"/>
          <w:b w:val="0"/>
          <w:color w:val="242C2F"/>
          <w:sz w:val="19"/>
        </w:rPr>
        <w:t>﻿ Судейская жана Атбашинская көчөлөрүнүн кесилишиндеги үй 19-кылымдын аягы - 20-кылымдын башы шаардын көрктөндүрүү жана шаар мүлкүнүн башында олуттуу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жыгач болушу мүмкүн. Бөлмөлөрдүн саны шаар тургунунун байлыгына жараша аныкта</w:t>
      </w:r>
    </w:p>
    <w:p>
      <w:pPr>
        <w:spacing w:before="20" w:after="0"/>
      </w:pPr>
      <w:r>
        <w:rPr>
          <w:rFonts w:ascii="Arial" w:hAnsi="Arial" w:eastAsia="Arial"/>
          <w:b w:val="0"/>
          <w:color w:val="606667"/>
          <w:sz w:val="14"/>
        </w:rPr>
        <w:t>Булак: https://bimap.su/description/pishpek/134_Sudeiskaia_Atbashinskaia.txt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42.88196, 74.57678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42.88196, 74.57678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