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of the Muladzhanovs</w:t>
      </w:r>
    </w:p>
    <w:p>
      <w:pPr>
        <w:spacing w:after="100"/>
        <w:jc w:val="center"/>
      </w:pPr>
      <w:r>
        <w:rPr>
          <w:rFonts w:ascii="Arial" w:hAnsi="Arial" w:eastAsia="Arial"/>
          <w:b w:val="0"/>
          <w:color w:val="606667"/>
          <w:sz w:val="17"/>
        </w:rPr>
        <w:t>42.87680, 74.60872</w:t>
      </w:r>
    </w:p>
    <w:p>
      <w:pPr>
        <w:spacing w:before="0" w:after="20"/>
        <w:jc w:val="center"/>
      </w:pPr>
      <w:r>
        <w:drawing>
          <wp:inline xmlns:a="http://schemas.openxmlformats.org/drawingml/2006/main" xmlns:pic="http://schemas.openxmlformats.org/drawingml/2006/picture">
            <wp:extent cx="1682370" cy="2232000"/>
            <wp:docPr id="1" name="Picture 1" descr="Дом Муладжановых" title="Дом Муладжановых"/>
            <wp:cNvGraphicFramePr>
              <a:graphicFrameLocks noChangeAspect="1"/>
            </wp:cNvGraphicFramePr>
            <a:graphic>
              <a:graphicData uri="http://schemas.openxmlformats.org/drawingml/2006/picture">
                <pic:pic>
                  <pic:nvPicPr>
                    <pic:cNvPr id="0" name="88882535556987ac7f05.jpg"/>
                    <pic:cNvPicPr/>
                  </pic:nvPicPr>
                  <pic:blipFill>
                    <a:blip r:embed="rId12"/>
                    <a:stretch>
                      <a:fillRect/>
                    </a:stretch>
                  </pic:blipFill>
                  <pic:spPr>
                    <a:xfrm>
                      <a:off x="0" y="0"/>
                      <a:ext cx="1682370" cy="2232000"/>
                    </a:xfrm>
                    <a:prstGeom prst="rect"/>
                  </pic:spPr>
                </pic:pic>
              </a:graphicData>
            </a:graphic>
          </wp:inline>
        </w:drawing>
      </w:r>
    </w:p>
    <w:p>
      <w:pPr>
        <w:spacing w:after="60"/>
        <w:jc w:val="center"/>
      </w:pPr>
      <w:r>
        <w:rPr>
          <w:rFonts w:ascii="Arial" w:hAnsi="Arial" w:eastAsia="Arial"/>
          <w:b w:val="0"/>
          <w:color w:val="606667"/>
          <w:sz w:val="15"/>
        </w:rPr>
        <w:t>Дом Муладжановых</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the Muladzhanovs</w:t>
      </w:r>
    </w:p>
    <w:p>
      <w:pPr>
        <w:widowControl/>
        <w:spacing w:before="0" w:after="60" w:line="247" w:lineRule="auto"/>
      </w:pPr>
      <w:r>
        <w:rPr>
          <w:rFonts w:ascii="Arial" w:hAnsi="Arial" w:eastAsia="Arial"/>
          <w:b w:val="0"/>
          <w:color w:val="242C2F"/>
          <w:sz w:val="19"/>
        </w:rPr>
        <w:t>﻿ House of the Muladzhanovs in 1896 on Tatarskaya The construction of residential buildings in the city of Pishpek was carried out strictly according to plan. Rectilinear streets formed squares or rectangles of blocks and in one block there were four to six plots, each with an area of ​​0.1 hectares. Houses on courtyard estates were placed on the corner or in the center of the site, with the main facades facing the street. The roofs of rich build</w:t>
      </w:r>
    </w:p>
    <w:p>
      <w:pPr>
        <w:spacing w:before="20" w:after="0"/>
      </w:pPr>
      <w:r>
        <w:rPr>
          <w:rFonts w:ascii="Arial" w:hAnsi="Arial" w:eastAsia="Arial"/>
          <w:b w:val="0"/>
          <w:color w:val="606667"/>
          <w:sz w:val="14"/>
        </w:rPr>
        <w:t>Source: https://bimap.su/description/pishpek/114_Dom1896.txt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42.87680, 74.60872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42.87680, 74.60872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