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 көчөсүндөгү үйлөр</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3312711" cy="2232000"/>
            <wp:docPr id="1" name="Picture 1" descr="Дома по улице Ташкентской" title="Дома по улице Ташкентской"/>
            <wp:cNvGraphicFramePr>
              <a:graphicFrameLocks noChangeAspect="1"/>
            </wp:cNvGraphicFramePr>
            <a:graphic>
              <a:graphicData uri="http://schemas.openxmlformats.org/drawingml/2006/picture">
                <pic:pic>
                  <pic:nvPicPr>
                    <pic:cNvPr id="0" name="aa1371045311c5780a73.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Дома по улице Ташкентской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 көчөсүндөгү үйлөр</w:t>
      </w:r>
    </w:p>
    <w:p>
      <w:pPr>
        <w:widowControl/>
        <w:spacing w:before="0" w:after="60" w:line="247" w:lineRule="auto"/>
      </w:pPr>
      <w:r>
        <w:rPr>
          <w:rFonts w:ascii="Arial" w:hAnsi="Arial" w:eastAsia="Arial"/>
          <w:b w:val="0"/>
          <w:color w:val="242C2F"/>
          <w:sz w:val="19"/>
        </w:rPr>
        <w:t>﻿ Ташкентскаянын түндүк тарабындагы Базарная менен Верненскаянын ортосундагы үйлөр Шаардагы үйлөрдүн алгачкы курулушу стихиялуу түрдө — кыйраган чептин жанында, Ташкент шоссесинин жана Аламүдүн дарыясынын жээгинде жүрүп жаткандыктан, кийинчерээк бул аймактын көчөлөрү кыйшайган көчөлөргө кошулат. өнүктүрүү. Шаардын бул бөлүгү чатыры камыш менен жабылган, дубалдары акталган жана сокур чопо тосмолордун артына катылган короолордон турган чоподон жаса</w:t>
      </w:r>
    </w:p>
    <w:p>
      <w:pPr>
        <w:spacing w:before="20" w:after="0"/>
      </w:pPr>
      <w:r>
        <w:rPr>
          <w:rFonts w:ascii="Arial" w:hAnsi="Arial" w:eastAsia="Arial"/>
          <w:b w:val="0"/>
          <w:color w:val="606667"/>
          <w:sz w:val="14"/>
        </w:rPr>
        <w:t>Булак: https://bimap.su/description/pishpek/104_Sever_Tashkentskoi.txt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