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42.87158, 74.57231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Maternity hospital No. 2</w:t>
      </w:r>
    </w:p>
    <w:p>
      <w:pPr>
        <w:spacing w:after="100"/>
        <w:jc w:val="center"/>
      </w:pPr>
      <w:r>
        <w:rPr>
          <w:rFonts w:ascii="Arial" w:hAnsi="Arial" w:eastAsia="Arial"/>
          <w:b w:val="0"/>
          <w:color w:val="606667"/>
          <w:sz w:val="17"/>
        </w:rPr>
        <w:t>42.87158, 74.57231</w:t>
      </w:r>
    </w:p>
    <w:p>
      <w:pPr>
        <w:spacing w:before="0" w:after="20"/>
        <w:jc w:val="center"/>
      </w:pPr>
      <w:r>
        <w:drawing>
          <wp:inline xmlns:a="http://schemas.openxmlformats.org/drawingml/2006/main" xmlns:pic="http://schemas.openxmlformats.org/drawingml/2006/picture">
            <wp:extent cx="2817900" cy="2232000"/>
            <wp:docPr id="2" name="Picture 2" descr="Родильный дом №2" title="Родильный дом №2"/>
            <wp:cNvGraphicFramePr>
              <a:graphicFrameLocks noChangeAspect="1"/>
            </wp:cNvGraphicFramePr>
            <a:graphic>
              <a:graphicData uri="http://schemas.openxmlformats.org/drawingml/2006/picture">
                <pic:pic>
                  <pic:nvPicPr>
                    <pic:cNvPr id="0" name="0caf8f6530ca84ecb9ae.jpg"/>
                    <pic:cNvPicPr/>
                  </pic:nvPicPr>
                  <pic:blipFill>
                    <a:blip r:embed="rId13"/>
                    <a:stretch>
                      <a:fillRect/>
                    </a:stretch>
                  </pic:blipFill>
                  <pic:spPr>
                    <a:xfrm>
                      <a:off x="0" y="0"/>
                      <a:ext cx="2817900" cy="2232000"/>
                    </a:xfrm>
                    <a:prstGeom prst="rect"/>
                  </pic:spPr>
                </pic:pic>
              </a:graphicData>
            </a:graphic>
          </wp:inline>
        </w:drawing>
      </w:r>
    </w:p>
    <w:p>
      <w:pPr>
        <w:spacing w:after="60"/>
        <w:jc w:val="center"/>
      </w:pPr>
      <w:r>
        <w:rPr>
          <w:rFonts w:ascii="Arial" w:hAnsi="Arial" w:eastAsia="Arial"/>
          <w:b w:val="0"/>
          <w:color w:val="606667"/>
          <w:sz w:val="15"/>
        </w:rPr>
        <w:t>Родильный дом №2</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Maternity hospital No. 2</w:t>
      </w:r>
    </w:p>
    <w:p>
      <w:pPr>
        <w:widowControl/>
        <w:spacing w:before="0" w:after="60" w:line="247" w:lineRule="auto"/>
      </w:pPr>
      <w:r>
        <w:rPr>
          <w:rFonts w:ascii="Arial" w:hAnsi="Arial" w:eastAsia="Arial"/>
          <w:b w:val="0"/>
          <w:color w:val="242C2F"/>
          <w:sz w:val="19"/>
        </w:rPr>
        <w:t>Maternity hospital No. 2, architect F. Steblin, 1937 Maternity hospital No. 2, architect F. Steblin, 1937 Today, fragments of this house can be seen in the courtyard of the new maternity hospital building. Photo by Evgeny Petrov. As well as a relic of the mother’s sculpture. Photo by Evgeny Petrov.</w:t>
      </w:r>
    </w:p>
    <w:p>
      <w:pPr>
        <w:spacing w:before="20" w:after="0"/>
      </w:pPr>
      <w:r>
        <w:rPr>
          <w:rFonts w:ascii="Arial" w:hAnsi="Arial" w:eastAsia="Arial"/>
          <w:b w:val="0"/>
          <w:color w:val="606667"/>
          <w:sz w:val="14"/>
        </w:rPr>
        <w:t>Source: https://bimap.su/description/frunze/465_Roddom2.txt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42.87158, 74.57231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