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1916-үй</w:t>
      </w:r>
    </w:p>
    <w:p>
      <w:pPr>
        <w:spacing w:after="100"/>
        <w:jc w:val="center"/>
      </w:pPr>
      <w:r>
        <w:rPr>
          <w:rFonts w:ascii="Arial" w:hAnsi="Arial" w:eastAsia="Arial"/>
          <w:b w:val="0"/>
          <w:color w:val="606667"/>
          <w:sz w:val="17"/>
        </w:rPr>
        <w:t>42.88630, 74.62472</w:t>
      </w:r>
    </w:p>
    <w:p>
      <w:pPr>
        <w:spacing w:before="0" w:after="20"/>
        <w:jc w:val="center"/>
      </w:pPr>
      <w:r>
        <w:drawing>
          <wp:inline xmlns:a="http://schemas.openxmlformats.org/drawingml/2006/main" xmlns:pic="http://schemas.openxmlformats.org/drawingml/2006/picture">
            <wp:extent cx="3377822" cy="2232000"/>
            <wp:docPr id="1" name="Picture 1" descr="Дом 1916г." title="Дом 1916г."/>
            <wp:cNvGraphicFramePr>
              <a:graphicFrameLocks noChangeAspect="1"/>
            </wp:cNvGraphicFramePr>
            <a:graphic>
              <a:graphicData uri="http://schemas.openxmlformats.org/drawingml/2006/picture">
                <pic:pic>
                  <pic:nvPicPr>
                    <pic:cNvPr id="0" name="0d3db8f3d197e6192123.jpg"/>
                    <pic:cNvPicPr/>
                  </pic:nvPicPr>
                  <pic:blipFill>
                    <a:blip r:embed="rId12"/>
                    <a:stretch>
                      <a:fillRect/>
                    </a:stretch>
                  </pic:blipFill>
                  <pic:spPr>
                    <a:xfrm>
                      <a:off x="0" y="0"/>
                      <a:ext cx="3377822" cy="2232000"/>
                    </a:xfrm>
                    <a:prstGeom prst="rect"/>
                  </pic:spPr>
                </pic:pic>
              </a:graphicData>
            </a:graphic>
          </wp:inline>
        </w:drawing>
      </w:r>
    </w:p>
    <w:p>
      <w:pPr>
        <w:spacing w:after="60"/>
        <w:jc w:val="center"/>
      </w:pPr>
      <w:r>
        <w:rPr>
          <w:rFonts w:ascii="Arial" w:hAnsi="Arial" w:eastAsia="Arial"/>
          <w:b w:val="0"/>
          <w:color w:val="606667"/>
          <w:sz w:val="15"/>
        </w:rPr>
        <w:t>Дом 1916г.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1916-үй</w:t>
      </w:r>
    </w:p>
    <w:p>
      <w:pPr>
        <w:widowControl/>
        <w:spacing w:before="0" w:after="60" w:line="247" w:lineRule="auto"/>
      </w:pPr>
      <w:r>
        <w:rPr>
          <w:rFonts w:ascii="Arial" w:hAnsi="Arial" w:eastAsia="Arial"/>
          <w:b w:val="0"/>
          <w:color w:val="242C2F"/>
          <w:sz w:val="19"/>
        </w:rPr>
        <w:t>﻿ 1916-жылдын Ташкент көчөсүндөгү үйү 19-кылымдын аягы – 20-кылымдын башы шаарды көрктөндүрүү менен мүнөздөлөт жана шаардын баш жагында чоң, кээде бир жарым, эки кабаттуу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Жогорку кабаттардын дубалдары каркас-жыгач же журнал болуп саналат</w:t>
      </w:r>
    </w:p>
    <w:p>
      <w:pPr>
        <w:spacing w:before="20" w:after="0"/>
      </w:pPr>
      <w:r>
        <w:rPr>
          <w:rFonts w:ascii="Arial" w:hAnsi="Arial" w:eastAsia="Arial"/>
          <w:b w:val="0"/>
          <w:color w:val="606667"/>
          <w:sz w:val="14"/>
        </w:rPr>
        <w:t>Булак: https://bimap.su/description/pishpek/37_Dom1916.txt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Ташкент көчөсүндөгү үй 1916</w:t>
      </w:r>
    </w:p>
    <w:p>
      <w:pPr>
        <w:spacing w:after="100"/>
        <w:jc w:val="center"/>
      </w:pPr>
      <w:r>
        <w:rPr>
          <w:rFonts w:ascii="Arial" w:hAnsi="Arial" w:eastAsia="Arial"/>
          <w:b w:val="0"/>
          <w:color w:val="606667"/>
          <w:sz w:val="17"/>
        </w:rPr>
        <w:t>42.88630, 74.62472</w:t>
      </w:r>
    </w:p>
    <w:p>
      <w:pPr>
        <w:spacing w:before="0" w:after="20"/>
        <w:jc w:val="center"/>
      </w:pPr>
      <w:r>
        <w:drawing>
          <wp:inline xmlns:a="http://schemas.openxmlformats.org/drawingml/2006/main" xmlns:pic="http://schemas.openxmlformats.org/drawingml/2006/picture">
            <wp:extent cx="3314367" cy="2232000"/>
            <wp:docPr id="2" name="Picture 2" descr="Дом 1916г. на улице Ташкентской" title="Дом 1916г. на улице Ташкентской"/>
            <wp:cNvGraphicFramePr>
              <a:graphicFrameLocks noChangeAspect="1"/>
            </wp:cNvGraphicFramePr>
            <a:graphic>
              <a:graphicData uri="http://schemas.openxmlformats.org/drawingml/2006/picture">
                <pic:pic>
                  <pic:nvPicPr>
                    <pic:cNvPr id="0" name="68cb727f98945c8d574b.jpg"/>
                    <pic:cNvPicPr/>
                  </pic:nvPicPr>
                  <pic:blipFill>
                    <a:blip r:embed="rId13"/>
                    <a:stretch>
                      <a:fillRect/>
                    </a:stretch>
                  </pic:blipFill>
                  <pic:spPr>
                    <a:xfrm>
                      <a:off x="0" y="0"/>
                      <a:ext cx="3314367" cy="2232000"/>
                    </a:xfrm>
                    <a:prstGeom prst="rect"/>
                  </pic:spPr>
                </pic:pic>
              </a:graphicData>
            </a:graphic>
          </wp:inline>
        </w:drawing>
      </w:r>
    </w:p>
    <w:p>
      <w:pPr>
        <w:spacing w:after="60"/>
        <w:jc w:val="center"/>
      </w:pPr>
      <w:r>
        <w:rPr>
          <w:rFonts w:ascii="Arial" w:hAnsi="Arial" w:eastAsia="Arial"/>
          <w:b w:val="0"/>
          <w:color w:val="606667"/>
          <w:sz w:val="15"/>
        </w:rPr>
        <w:t>Дом 1916г. на улице Ташкентской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 1916</w:t>
      </w:r>
    </w:p>
    <w:p>
      <w:pPr>
        <w:widowControl/>
        <w:spacing w:before="0" w:after="60" w:line="247" w:lineRule="auto"/>
      </w:pPr>
      <w:r>
        <w:rPr>
          <w:rFonts w:ascii="Arial" w:hAnsi="Arial" w:eastAsia="Arial"/>
          <w:b w:val="0"/>
          <w:color w:val="242C2F"/>
          <w:sz w:val="19"/>
        </w:rPr>
        <w:t xml:space="preserve">﻿ 1916 Ташкент көчөсүндөгү 19-кылымдын аягы - 20-кылымдын башында шаардын көрктөндүрүү жана шаар массивинин башында чоң үйлөрдүн, кээде бир жарым, эки кабаттуу үйлөрдүн курулушу мүнөздүү.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Жогорку кабаттардын дубалдары каркас-жыгач же журнал болуп саналат. Бөлмөлөрдүн саны </w:t>
      </w:r>
    </w:p>
    <w:p>
      <w:pPr>
        <w:spacing w:before="20" w:after="0"/>
      </w:pPr>
      <w:r>
        <w:rPr>
          <w:rFonts w:ascii="Arial" w:hAnsi="Arial" w:eastAsia="Arial"/>
          <w:b w:val="0"/>
          <w:color w:val="606667"/>
          <w:sz w:val="14"/>
        </w:rPr>
        <w:t>Булак: https://bimap.su/description/frunze/271_Dom1916.txt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42.88630, 74.62472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